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0411" w14:textId="77777777" w:rsidR="00835EA9" w:rsidRDefault="00835EA9" w:rsidP="00835EA9">
      <w:pPr>
        <w:tabs>
          <w:tab w:val="left" w:pos="3180"/>
        </w:tabs>
        <w:spacing w:after="0" w:line="276" w:lineRule="auto"/>
        <w:jc w:val="both"/>
        <w:rPr>
          <w:rFonts w:ascii="Times New Roman" w:hAnsi="Times New Roman" w:cs="Times New Roman"/>
          <w:b/>
          <w:sz w:val="72"/>
          <w:szCs w:val="72"/>
        </w:rPr>
      </w:pPr>
      <w:bookmarkStart w:id="0" w:name="_GoBack"/>
      <w:r>
        <w:rPr>
          <w:noProof/>
          <w:lang w:eastAsia="ru-RU"/>
        </w:rPr>
        <w:drawing>
          <wp:anchor distT="0" distB="0" distL="114300" distR="114300" simplePos="0" relativeHeight="251659264" behindDoc="1" locked="0" layoutInCell="1" allowOverlap="1" wp14:anchorId="6BE2D70B" wp14:editId="2687B39D">
            <wp:simplePos x="0" y="0"/>
            <wp:positionH relativeFrom="column">
              <wp:posOffset>-1276350</wp:posOffset>
            </wp:positionH>
            <wp:positionV relativeFrom="paragraph">
              <wp:posOffset>-723900</wp:posOffset>
            </wp:positionV>
            <wp:extent cx="7758430" cy="10744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8430" cy="10744200"/>
                    </a:xfrm>
                    <a:prstGeom prst="rect">
                      <a:avLst/>
                    </a:prstGeom>
                    <a:noFill/>
                  </pic:spPr>
                </pic:pic>
              </a:graphicData>
            </a:graphic>
          </wp:anchor>
        </w:drawing>
      </w:r>
      <w:bookmarkEnd w:id="0"/>
      <w:r>
        <w:rPr>
          <w:rFonts w:ascii="Times New Roman" w:hAnsi="Times New Roman" w:cs="Times New Roman"/>
          <w:b/>
          <w:sz w:val="72"/>
          <w:szCs w:val="72"/>
        </w:rPr>
        <w:tab/>
      </w:r>
    </w:p>
    <w:tbl>
      <w:tblPr>
        <w:tblpPr w:leftFromText="180" w:rightFromText="180" w:vertAnchor="text" w:horzAnchor="page" w:tblpX="6274" w:tblpY="-951"/>
        <w:tblOverlap w:val="never"/>
        <w:tblW w:w="0" w:type="auto"/>
        <w:tblLook w:val="00A0" w:firstRow="1" w:lastRow="0" w:firstColumn="1" w:lastColumn="0" w:noHBand="0" w:noVBand="0"/>
      </w:tblPr>
      <w:tblGrid>
        <w:gridCol w:w="6313"/>
      </w:tblGrid>
      <w:tr w:rsidR="00835EA9" w:rsidRPr="0022638D" w14:paraId="24FD7975" w14:textId="77777777" w:rsidTr="00835EA9">
        <w:tc>
          <w:tcPr>
            <w:tcW w:w="6313" w:type="dxa"/>
          </w:tcPr>
          <w:p w14:paraId="419043DB" w14:textId="77777777" w:rsidR="007816CE" w:rsidRDefault="007816CE" w:rsidP="00835EA9">
            <w:pPr>
              <w:tabs>
                <w:tab w:val="left" w:pos="6096"/>
              </w:tabs>
              <w:rPr>
                <w:b/>
                <w:bCs/>
                <w:sz w:val="28"/>
                <w:szCs w:val="28"/>
              </w:rPr>
            </w:pPr>
          </w:p>
          <w:p w14:paraId="1D51E19D" w14:textId="77777777" w:rsidR="00835EA9" w:rsidRPr="006960A0" w:rsidRDefault="00835EA9" w:rsidP="00835EA9">
            <w:pPr>
              <w:tabs>
                <w:tab w:val="left" w:pos="6096"/>
              </w:tabs>
              <w:rPr>
                <w:sz w:val="28"/>
                <w:szCs w:val="28"/>
              </w:rPr>
            </w:pPr>
            <w:r w:rsidRPr="007816CE">
              <w:rPr>
                <w:rFonts w:ascii="Times New Roman" w:hAnsi="Times New Roman" w:cs="Times New Roman"/>
                <w:b/>
                <w:bCs/>
                <w:sz w:val="28"/>
                <w:szCs w:val="28"/>
              </w:rPr>
              <w:t>Утвержда</w:t>
            </w:r>
            <w:r w:rsidRPr="006960A0">
              <w:rPr>
                <w:b/>
                <w:bCs/>
                <w:sz w:val="28"/>
                <w:szCs w:val="28"/>
              </w:rPr>
              <w:t>ю</w:t>
            </w:r>
          </w:p>
          <w:p w14:paraId="6949152E" w14:textId="77777777" w:rsidR="00835EA9" w:rsidRPr="006960A0" w:rsidRDefault="00835EA9" w:rsidP="00835EA9">
            <w:pPr>
              <w:pStyle w:val="Default"/>
              <w:tabs>
                <w:tab w:val="left" w:pos="6096"/>
              </w:tabs>
              <w:rPr>
                <w:rFonts w:ascii="Times New Roman" w:hAnsi="Times New Roman" w:cs="Times New Roman"/>
                <w:sz w:val="28"/>
                <w:szCs w:val="28"/>
              </w:rPr>
            </w:pPr>
            <w:r w:rsidRPr="006960A0">
              <w:rPr>
                <w:rFonts w:ascii="Times New Roman" w:hAnsi="Times New Roman" w:cs="Times New Roman"/>
                <w:sz w:val="28"/>
                <w:szCs w:val="28"/>
              </w:rPr>
              <w:tab/>
            </w:r>
            <w:r w:rsidRPr="006960A0">
              <w:rPr>
                <w:rFonts w:ascii="Times New Roman" w:hAnsi="Times New Roman" w:cs="Times New Roman"/>
                <w:sz w:val="28"/>
                <w:szCs w:val="28"/>
              </w:rPr>
              <w:tab/>
            </w:r>
            <w:r>
              <w:rPr>
                <w:rFonts w:ascii="Times New Roman" w:hAnsi="Times New Roman" w:cs="Times New Roman"/>
                <w:sz w:val="28"/>
                <w:szCs w:val="28"/>
              </w:rPr>
              <w:t>Генеральный директор</w:t>
            </w:r>
          </w:p>
          <w:p w14:paraId="33BE7B0D" w14:textId="6231A64A" w:rsidR="00835EA9" w:rsidRPr="006960A0" w:rsidRDefault="007816CE" w:rsidP="00835EA9">
            <w:pPr>
              <w:pStyle w:val="Default"/>
              <w:tabs>
                <w:tab w:val="left" w:pos="6096"/>
              </w:tabs>
              <w:spacing w:before="120"/>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7B91713C" wp14:editId="15B21006">
                  <wp:extent cx="1129665" cy="455930"/>
                  <wp:effectExtent l="0" t="0" r="0" b="0"/>
                  <wp:docPr id="1" name="Рисунок 1" descr="C:\Users\Anna\AppData\Local\Microsoft\Windows\INetCache\Content.Word\Соболева.png"/>
                  <wp:cNvGraphicFramePr/>
                  <a:graphic xmlns:a="http://schemas.openxmlformats.org/drawingml/2006/main">
                    <a:graphicData uri="http://schemas.openxmlformats.org/drawingml/2006/picture">
                      <pic:pic xmlns:pic="http://schemas.openxmlformats.org/drawingml/2006/picture">
                        <pic:nvPicPr>
                          <pic:cNvPr id="1" name="Рисунок 1" descr="C:\Users\Anna\AppData\Local\Microsoft\Windows\INetCache\Content.Word\Соболева.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455930"/>
                          </a:xfrm>
                          <a:prstGeom prst="rect">
                            <a:avLst/>
                          </a:prstGeom>
                          <a:noFill/>
                          <a:ln>
                            <a:noFill/>
                          </a:ln>
                        </pic:spPr>
                      </pic:pic>
                    </a:graphicData>
                  </a:graphic>
                </wp:inline>
              </w:drawing>
            </w:r>
            <w:r>
              <w:rPr>
                <w:rFonts w:ascii="Times New Roman" w:hAnsi="Times New Roman" w:cs="Times New Roman"/>
                <w:sz w:val="28"/>
                <w:szCs w:val="28"/>
              </w:rPr>
              <w:t xml:space="preserve">             </w:t>
            </w:r>
            <w:r w:rsidR="00835EA9">
              <w:rPr>
                <w:rFonts w:ascii="Times New Roman" w:hAnsi="Times New Roman" w:cs="Times New Roman"/>
                <w:sz w:val="28"/>
                <w:szCs w:val="28"/>
              </w:rPr>
              <w:t>Э.Ю. Соболева</w:t>
            </w:r>
          </w:p>
          <w:p w14:paraId="2D83666F" w14:textId="77777777" w:rsidR="00835EA9" w:rsidRPr="006960A0" w:rsidRDefault="00835EA9" w:rsidP="00835EA9">
            <w:pPr>
              <w:pStyle w:val="Default"/>
              <w:tabs>
                <w:tab w:val="left" w:pos="6096"/>
              </w:tabs>
              <w:spacing w:before="120"/>
              <w:rPr>
                <w:b/>
                <w:bCs/>
                <w:i/>
                <w:iCs/>
                <w:sz w:val="28"/>
                <w:szCs w:val="28"/>
              </w:rPr>
            </w:pPr>
          </w:p>
        </w:tc>
      </w:tr>
    </w:tbl>
    <w:p w14:paraId="6FCDA3E0" w14:textId="1FBDC75D" w:rsidR="008A4208" w:rsidRDefault="008A4208" w:rsidP="00835EA9">
      <w:pPr>
        <w:tabs>
          <w:tab w:val="left" w:pos="3180"/>
        </w:tabs>
        <w:spacing w:after="0" w:line="276" w:lineRule="auto"/>
        <w:jc w:val="both"/>
        <w:rPr>
          <w:rFonts w:ascii="Times New Roman" w:hAnsi="Times New Roman" w:cs="Times New Roman"/>
          <w:b/>
          <w:sz w:val="72"/>
          <w:szCs w:val="72"/>
        </w:rPr>
      </w:pPr>
    </w:p>
    <w:p w14:paraId="3F14C8F4" w14:textId="77777777" w:rsidR="008A4208" w:rsidRDefault="008A4208" w:rsidP="008A4208">
      <w:pPr>
        <w:spacing w:after="0" w:line="276" w:lineRule="auto"/>
        <w:jc w:val="both"/>
        <w:rPr>
          <w:rFonts w:ascii="Times New Roman" w:hAnsi="Times New Roman" w:cs="Times New Roman"/>
          <w:b/>
          <w:sz w:val="72"/>
          <w:szCs w:val="72"/>
        </w:rPr>
      </w:pPr>
    </w:p>
    <w:p w14:paraId="1B6E06CB" w14:textId="77777777" w:rsidR="008A4208" w:rsidRDefault="008A4208" w:rsidP="008A4208">
      <w:pPr>
        <w:spacing w:after="0" w:line="276" w:lineRule="auto"/>
        <w:jc w:val="both"/>
        <w:rPr>
          <w:rFonts w:ascii="Times New Roman" w:hAnsi="Times New Roman" w:cs="Times New Roman"/>
          <w:b/>
          <w:sz w:val="72"/>
          <w:szCs w:val="72"/>
        </w:rPr>
      </w:pPr>
    </w:p>
    <w:p w14:paraId="67075E87" w14:textId="77777777" w:rsidR="008A4208" w:rsidRDefault="008A4208" w:rsidP="008A4208">
      <w:pPr>
        <w:spacing w:after="0" w:line="276" w:lineRule="auto"/>
        <w:jc w:val="both"/>
        <w:rPr>
          <w:rFonts w:ascii="Times New Roman" w:hAnsi="Times New Roman" w:cs="Times New Roman"/>
          <w:b/>
          <w:sz w:val="72"/>
          <w:szCs w:val="72"/>
        </w:rPr>
      </w:pPr>
    </w:p>
    <w:p w14:paraId="20C25782" w14:textId="77777777" w:rsidR="008A4208" w:rsidRDefault="008A4208" w:rsidP="008A4208">
      <w:pPr>
        <w:spacing w:after="0" w:line="276" w:lineRule="auto"/>
        <w:jc w:val="both"/>
        <w:rPr>
          <w:rFonts w:ascii="Times New Roman" w:hAnsi="Times New Roman" w:cs="Times New Roman"/>
          <w:b/>
          <w:sz w:val="72"/>
          <w:szCs w:val="72"/>
        </w:rPr>
      </w:pPr>
    </w:p>
    <w:p w14:paraId="5AA3D05F" w14:textId="77777777" w:rsidR="008A4208" w:rsidRDefault="008A4208" w:rsidP="008A4208">
      <w:pPr>
        <w:spacing w:after="0" w:line="276" w:lineRule="auto"/>
        <w:jc w:val="both"/>
        <w:rPr>
          <w:rFonts w:ascii="Times New Roman" w:hAnsi="Times New Roman" w:cs="Times New Roman"/>
          <w:b/>
          <w:sz w:val="72"/>
          <w:szCs w:val="72"/>
        </w:rPr>
      </w:pPr>
    </w:p>
    <w:p w14:paraId="78B2A47A" w14:textId="1C35E135" w:rsidR="00835EA9" w:rsidRDefault="00835EA9" w:rsidP="00835EA9">
      <w:pPr>
        <w:jc w:val="center"/>
        <w:rPr>
          <w:rFonts w:ascii="Times New Roman" w:eastAsia="Times New Roman" w:hAnsi="Times New Roman" w:cs="Times New Roman"/>
          <w:b/>
          <w:bCs/>
          <w:sz w:val="56"/>
          <w:szCs w:val="32"/>
          <w:lang w:eastAsia="ru-RU"/>
        </w:rPr>
      </w:pPr>
      <w:r w:rsidRPr="00F846C5">
        <w:rPr>
          <w:rFonts w:ascii="Times New Roman" w:eastAsia="Times New Roman" w:hAnsi="Times New Roman" w:cs="Times New Roman"/>
          <w:b/>
          <w:bCs/>
          <w:sz w:val="56"/>
          <w:szCs w:val="32"/>
          <w:lang w:eastAsia="ru-RU"/>
        </w:rPr>
        <w:t xml:space="preserve">Аналитический отчет о результатах </w:t>
      </w:r>
      <w:r>
        <w:rPr>
          <w:rFonts w:ascii="Times New Roman" w:eastAsia="Times New Roman" w:hAnsi="Times New Roman" w:cs="Times New Roman"/>
          <w:b/>
          <w:bCs/>
          <w:sz w:val="56"/>
          <w:szCs w:val="32"/>
          <w:lang w:eastAsia="ru-RU"/>
        </w:rPr>
        <w:t xml:space="preserve">   </w:t>
      </w:r>
      <w:r w:rsidRPr="00F846C5">
        <w:rPr>
          <w:rFonts w:ascii="Times New Roman" w:eastAsia="Times New Roman" w:hAnsi="Times New Roman" w:cs="Times New Roman"/>
          <w:b/>
          <w:bCs/>
          <w:sz w:val="56"/>
          <w:szCs w:val="32"/>
          <w:lang w:eastAsia="ru-RU"/>
        </w:rPr>
        <w:t>внешней оценки образов</w:t>
      </w:r>
      <w:r>
        <w:rPr>
          <w:rFonts w:ascii="Times New Roman" w:eastAsia="Times New Roman" w:hAnsi="Times New Roman" w:cs="Times New Roman"/>
          <w:b/>
          <w:bCs/>
          <w:sz w:val="56"/>
          <w:szCs w:val="32"/>
          <w:lang w:eastAsia="ru-RU"/>
        </w:rPr>
        <w:t>ательных программ по итогам 2014</w:t>
      </w:r>
      <w:r w:rsidRPr="00F846C5">
        <w:rPr>
          <w:rFonts w:ascii="Times New Roman" w:eastAsia="Times New Roman" w:hAnsi="Times New Roman" w:cs="Times New Roman"/>
          <w:b/>
          <w:bCs/>
          <w:sz w:val="56"/>
          <w:szCs w:val="32"/>
          <w:lang w:eastAsia="ru-RU"/>
        </w:rPr>
        <w:t xml:space="preserve"> года</w:t>
      </w:r>
    </w:p>
    <w:p w14:paraId="052F560F" w14:textId="77777777" w:rsidR="00835EA9" w:rsidRDefault="00835EA9" w:rsidP="00835EA9">
      <w:pPr>
        <w:jc w:val="center"/>
        <w:rPr>
          <w:rFonts w:ascii="Times New Roman" w:eastAsia="Times New Roman" w:hAnsi="Times New Roman" w:cs="Times New Roman"/>
          <w:b/>
          <w:bCs/>
          <w:sz w:val="56"/>
          <w:szCs w:val="32"/>
          <w:lang w:eastAsia="ru-RU"/>
        </w:rPr>
      </w:pPr>
    </w:p>
    <w:p w14:paraId="04053DF7" w14:textId="77777777" w:rsidR="00835EA9" w:rsidRDefault="00835EA9" w:rsidP="00835EA9">
      <w:pPr>
        <w:jc w:val="center"/>
        <w:rPr>
          <w:rFonts w:ascii="Times New Roman" w:eastAsia="Times New Roman" w:hAnsi="Times New Roman" w:cs="Times New Roman"/>
          <w:b/>
          <w:bCs/>
          <w:sz w:val="56"/>
          <w:szCs w:val="32"/>
          <w:lang w:eastAsia="ru-RU"/>
        </w:rPr>
      </w:pPr>
    </w:p>
    <w:p w14:paraId="5826EF44" w14:textId="77777777" w:rsidR="00835EA9" w:rsidRDefault="00835EA9" w:rsidP="00835EA9">
      <w:pPr>
        <w:jc w:val="center"/>
        <w:rPr>
          <w:rFonts w:ascii="Times New Roman" w:eastAsia="Times New Roman" w:hAnsi="Times New Roman" w:cs="Times New Roman"/>
          <w:b/>
          <w:bCs/>
          <w:sz w:val="56"/>
          <w:szCs w:val="32"/>
          <w:lang w:eastAsia="ru-RU"/>
        </w:rPr>
      </w:pPr>
    </w:p>
    <w:p w14:paraId="68B5E8EE" w14:textId="77777777" w:rsidR="00835EA9" w:rsidRDefault="00835EA9" w:rsidP="00835EA9">
      <w:pPr>
        <w:jc w:val="center"/>
        <w:rPr>
          <w:rFonts w:ascii="Times New Roman" w:eastAsia="Times New Roman" w:hAnsi="Times New Roman" w:cs="Times New Roman"/>
          <w:b/>
          <w:bCs/>
          <w:sz w:val="56"/>
          <w:szCs w:val="32"/>
          <w:lang w:eastAsia="ru-RU"/>
        </w:rPr>
      </w:pPr>
    </w:p>
    <w:p w14:paraId="25B5DB83" w14:textId="73627CE2" w:rsidR="00835EA9" w:rsidRDefault="00835EA9" w:rsidP="00835EA9">
      <w:pPr>
        <w:tabs>
          <w:tab w:val="left" w:pos="5620"/>
        </w:tabs>
        <w:rPr>
          <w:rFonts w:ascii="Times New Roman" w:eastAsia="Times New Roman" w:hAnsi="Times New Roman" w:cs="Times New Roman"/>
          <w:b/>
          <w:bCs/>
          <w:sz w:val="56"/>
          <w:szCs w:val="32"/>
          <w:lang w:eastAsia="ru-RU"/>
        </w:rPr>
      </w:pPr>
    </w:p>
    <w:p w14:paraId="52CCD9F4" w14:textId="77777777" w:rsidR="00835EA9" w:rsidRDefault="00835EA9" w:rsidP="00835EA9">
      <w:pPr>
        <w:tabs>
          <w:tab w:val="left" w:pos="1100"/>
          <w:tab w:val="left" w:pos="2140"/>
        </w:tabs>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56"/>
          <w:szCs w:val="32"/>
          <w:lang w:eastAsia="ru-RU"/>
        </w:rPr>
        <w:tab/>
      </w:r>
      <w:r>
        <w:rPr>
          <w:rFonts w:ascii="Times New Roman" w:eastAsia="Times New Roman" w:hAnsi="Times New Roman" w:cs="Times New Roman"/>
          <w:b/>
          <w:bCs/>
          <w:sz w:val="28"/>
          <w:szCs w:val="28"/>
          <w:lang w:eastAsia="ru-RU"/>
        </w:rPr>
        <w:t xml:space="preserve">                                                       </w:t>
      </w:r>
    </w:p>
    <w:p w14:paraId="512D8489" w14:textId="19C8F145" w:rsidR="008A4208" w:rsidRPr="00835EA9" w:rsidRDefault="00835EA9" w:rsidP="00835EA9">
      <w:pPr>
        <w:tabs>
          <w:tab w:val="left" w:pos="1100"/>
          <w:tab w:val="left" w:pos="2140"/>
        </w:tabs>
        <w:rPr>
          <w:rFonts w:ascii="Times New Roman" w:eastAsia="Times New Roman" w:hAnsi="Times New Roman" w:cs="Times New Roman"/>
          <w:b/>
          <w:bCs/>
          <w:sz w:val="56"/>
          <w:szCs w:val="32"/>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 xml:space="preserve">     </w:t>
      </w:r>
      <w:r w:rsidRPr="00F846C5">
        <w:rPr>
          <w:rFonts w:ascii="Times New Roman" w:eastAsia="Times New Roman" w:hAnsi="Times New Roman" w:cs="Times New Roman"/>
          <w:b/>
          <w:bCs/>
          <w:sz w:val="28"/>
          <w:szCs w:val="28"/>
          <w:lang w:eastAsia="ru-RU"/>
        </w:rPr>
        <w:t>Москва – 201</w:t>
      </w:r>
      <w:bookmarkStart w:id="1" w:name="id_gjdgxs"/>
      <w:bookmarkEnd w:id="1"/>
      <w:r>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56"/>
          <w:szCs w:val="32"/>
          <w:lang w:eastAsia="ru-RU"/>
        </w:rPr>
        <w:tab/>
      </w:r>
    </w:p>
    <w:p w14:paraId="7E7CFAE9" w14:textId="08B98B9C" w:rsidR="000823B8" w:rsidRPr="001A068D" w:rsidRDefault="000823B8" w:rsidP="001A068D">
      <w:pPr>
        <w:pStyle w:val="a3"/>
        <w:numPr>
          <w:ilvl w:val="0"/>
          <w:numId w:val="1"/>
        </w:numPr>
        <w:spacing w:after="0" w:line="276" w:lineRule="auto"/>
        <w:ind w:left="0" w:firstLine="709"/>
        <w:jc w:val="both"/>
        <w:rPr>
          <w:rFonts w:ascii="Times New Roman" w:hAnsi="Times New Roman" w:cs="Times New Roman"/>
          <w:b/>
          <w:sz w:val="28"/>
          <w:szCs w:val="28"/>
        </w:rPr>
      </w:pPr>
      <w:r w:rsidRPr="001A068D">
        <w:rPr>
          <w:rFonts w:ascii="Times New Roman" w:hAnsi="Times New Roman" w:cs="Times New Roman"/>
          <w:b/>
          <w:sz w:val="28"/>
          <w:szCs w:val="28"/>
        </w:rPr>
        <w:lastRenderedPageBreak/>
        <w:t>Обзор основных факторов, определявших развитие системы профессионального образования в Российской Федерации в 2014 году.</w:t>
      </w:r>
    </w:p>
    <w:p w14:paraId="4ED99A59" w14:textId="0AD3DB88" w:rsidR="0010486A" w:rsidRPr="001A068D" w:rsidRDefault="0010486A" w:rsidP="001A068D">
      <w:pPr>
        <w:spacing w:after="0" w:line="276" w:lineRule="auto"/>
        <w:ind w:firstLine="709"/>
        <w:jc w:val="both"/>
        <w:rPr>
          <w:rFonts w:ascii="Times New Roman" w:hAnsi="Times New Roman" w:cs="Times New Roman"/>
          <w:sz w:val="28"/>
          <w:szCs w:val="28"/>
        </w:rPr>
      </w:pPr>
    </w:p>
    <w:p w14:paraId="78B8C1F7"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2014 году подготовлена новая редакция федеральных государственных образовательных стандартов ФГОС-3+ по всем направлениям подготовки бакалавриата, магистратуры и специальностям высшего образования. ФГОС-3+ устанавливает требования прямого участия работодателей в разработке и реализации основных профессиональных образовательных программ и устраняет ограничения по формированию модульных образовательных программ.</w:t>
      </w:r>
    </w:p>
    <w:p w14:paraId="62F62221"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Впервые разработаны федеральные государственные стандарты для третьего уровня высшего образования – подготовка кадров высшей квалификации.</w:t>
      </w:r>
    </w:p>
    <w:p w14:paraId="17884081"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Во все федеральные государственные образовательные стандарты профессионального образования введены требования, обеспечивающие доступность получения образования инвалидами и лицами с ограниченными возможностями здоровья.</w:t>
      </w:r>
    </w:p>
    <w:p w14:paraId="611F59A5"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Также в ФГОС-3+ включены требования, необходимые при реализации образовательных программ высшего образования с применением электронного обучения, дистанционных образовательных технологий. В том числе учитывается замена специально оборудованных помещений их виртуальными аналогами, которые позволяют обучающимся приобретать умения и навыки, предусмотренные профессиональной деятельностью. Также предусмотрено обеспечение обучающегося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w:t>
      </w:r>
    </w:p>
    <w:p w14:paraId="0ABF0568"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2014 году процедуру профессионально-общественной аккредитации (ПОА) прошли около 200 образовательных программ высшего образования. Проведён очередной мониторинг эффективности деятельности образовательных организаций высшего образования, по результатам мониторинга сформирован список из 1006 образовательных организаций высшего образования и филиалов, в которых выявлены признаки неэффективности.</w:t>
      </w:r>
    </w:p>
    <w:p w14:paraId="5D3F20ED"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По итогам мониторинга эффективности 2012–2014 годов реорганизовано 20 образовательных организаций высшего образования, подведомственных Минобрнауки России, и 216 филиалов вузов Минобрнауки России, из них в 2014 году реорганизованы 1 образовательная </w:t>
      </w:r>
      <w:r w:rsidRPr="001A068D">
        <w:rPr>
          <w:rFonts w:ascii="Times New Roman" w:hAnsi="Times New Roman" w:cs="Times New Roman"/>
          <w:sz w:val="28"/>
          <w:szCs w:val="28"/>
        </w:rPr>
        <w:lastRenderedPageBreak/>
        <w:t>организация и 96 филиалов вузов, из которых 64 филиала вузов ликвидированы.</w:t>
      </w:r>
    </w:p>
    <w:p w14:paraId="59DEFC23" w14:textId="77777777" w:rsidR="007476FD"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По результатам контрольно-надзорных мероприятий, проведённых в 2014 году в отношении образовательных организаций высшего образования, признанных неэффективными и требующих реорганизации либо выполнивших менее четырёх показателей мониторинга эффективности, прекращено действие лицензий 84 частных образовательных организаций высшего образования и 104 филиалов негосударственных вузов.</w:t>
      </w:r>
    </w:p>
    <w:p w14:paraId="3C4B4A55" w14:textId="77777777" w:rsidR="0010486A" w:rsidRPr="001A068D" w:rsidRDefault="0010486A"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2014 году продолжилось внедрение новых принципов распределения контрольных цифр приёма граждан (КЦП) с учётом потребности регионов и отраслей в подготовке кадров. В 2014 году Минобрнауки собрало предложения от 22 центров ответственности (заинтересованных федеральных органов исполнительной власти и объединений работодателей) по объёмам и структуре приёма граждан в образовательные организации высшего образования на 2015/2016 и 2016/2017 учебные годы с учётом потребности экономики в кадрах и возможностей региональной образовательной сети. Кроме того, при определении общего объёма контрольных цифр приёма на 2016/2017 учебный год учтены предложения 13 тыс. ключевых работодателей субъектов Федерации.</w:t>
      </w:r>
    </w:p>
    <w:p w14:paraId="2F6F7340" w14:textId="77777777" w:rsidR="0010486A" w:rsidRPr="001A068D" w:rsidRDefault="0010486A"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Общий объём при установлении КЦП на 2015/2016 учебный год составил 524 344 человека, что на 8% больше относительно КЦП, установленных на 2014/2015 учебный год. При этом увеличено количество бюджетных мест по востребованным в регионах направлениям подготовки и специальностям и сокращено по экономическим, педагогическим и гуманитарным направлениям.</w:t>
      </w:r>
    </w:p>
    <w:p w14:paraId="088F7865" w14:textId="77777777" w:rsidR="0010486A" w:rsidRPr="001A068D" w:rsidRDefault="0010486A"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2014 году в 1,5 раза увеличилась правительственная квота на обучение иностранных граждан за счёт средств федерального бюджета (в 2013 году – 10 тыс. человек, в 2014 году – 15 тыс. человек). В 2014 году на обучение в России в рамках квоты приняты граждане из 150 стран мира.</w:t>
      </w:r>
    </w:p>
    <w:p w14:paraId="030A7AFC" w14:textId="7270249A" w:rsidR="0010486A"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w:t>
      </w:r>
      <w:r w:rsidR="0010486A" w:rsidRPr="001A068D">
        <w:rPr>
          <w:rFonts w:ascii="Times New Roman" w:hAnsi="Times New Roman" w:cs="Times New Roman"/>
          <w:sz w:val="28"/>
          <w:szCs w:val="28"/>
        </w:rPr>
        <w:t xml:space="preserve"> рамках реализации проекта по повышению международной конкурентоспособности российских университетов среди ведущих мировых научно-образовательных центров 14 вузам была предоставлена государственная поддержка на сумму 10,5 млрд рублей.</w:t>
      </w:r>
    </w:p>
    <w:p w14:paraId="408123BF" w14:textId="677BA774" w:rsidR="0010486A" w:rsidRPr="001A068D" w:rsidRDefault="007476FD"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Также в</w:t>
      </w:r>
      <w:r w:rsidR="0010486A" w:rsidRPr="001A068D">
        <w:rPr>
          <w:rFonts w:ascii="Times New Roman" w:hAnsi="Times New Roman" w:cs="Times New Roman"/>
          <w:sz w:val="28"/>
          <w:szCs w:val="28"/>
        </w:rPr>
        <w:t xml:space="preserve"> 2014 году созданы Крымский федеральный университет им. В.И.Вернадского и Севастопольский государственный университет. Этими университетами совместно с Минобрнауки России разработаны программы развития, реализация которых позволит осуществить модернизацию образовательного процесса и инфраструктуры вузов, развить инновационную </w:t>
      </w:r>
      <w:r w:rsidR="0010486A" w:rsidRPr="001A068D">
        <w:rPr>
          <w:rFonts w:ascii="Times New Roman" w:hAnsi="Times New Roman" w:cs="Times New Roman"/>
          <w:sz w:val="28"/>
          <w:szCs w:val="28"/>
        </w:rPr>
        <w:lastRenderedPageBreak/>
        <w:t>деятельность, кадровый потенциал, сформировать качественный контингент обучающихся.</w:t>
      </w:r>
    </w:p>
    <w:p w14:paraId="04C0B674" w14:textId="687D32E5" w:rsidR="00233772" w:rsidRPr="001A068D" w:rsidRDefault="0010486A"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Продолжена реализация совместно с Минпромторгом России пилотного проекта по созданию и развитию инжиниринговых центров на базе образовательных организаций высшего образования, подведомственных Минобрнауки России. В 2014 году действует 20 таких центров. Общий объём субсидирования проектов в 2014 году составил 740 млн рублей.</w:t>
      </w:r>
    </w:p>
    <w:p w14:paraId="26167387" w14:textId="6BE22BC7" w:rsidR="0052452C" w:rsidRPr="001A068D" w:rsidRDefault="000823B8" w:rsidP="001A068D">
      <w:pPr>
        <w:spacing w:after="0" w:line="276" w:lineRule="auto"/>
        <w:ind w:firstLine="709"/>
        <w:jc w:val="both"/>
        <w:rPr>
          <w:rFonts w:ascii="Times New Roman" w:hAnsi="Times New Roman" w:cs="Times New Roman"/>
          <w:b/>
          <w:sz w:val="28"/>
          <w:szCs w:val="28"/>
        </w:rPr>
      </w:pPr>
      <w:r w:rsidRPr="001A068D">
        <w:rPr>
          <w:rFonts w:ascii="Times New Roman" w:hAnsi="Times New Roman" w:cs="Times New Roman"/>
          <w:b/>
          <w:sz w:val="28"/>
          <w:szCs w:val="28"/>
        </w:rPr>
        <w:t>Изменения законодательной базы</w:t>
      </w:r>
    </w:p>
    <w:p w14:paraId="75DE330D" w14:textId="09B1F6C1" w:rsidR="0052452C" w:rsidRDefault="0052452C"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июле 2014 года был принят Федеральный закон </w:t>
      </w:r>
      <w:bookmarkStart w:id="2" w:name="_Hlk7280225"/>
      <w:r w:rsidRPr="001A068D">
        <w:rPr>
          <w:rFonts w:ascii="Times New Roman" w:hAnsi="Times New Roman" w:cs="Times New Roman"/>
          <w:sz w:val="28"/>
          <w:szCs w:val="28"/>
        </w:rPr>
        <w:t xml:space="preserve">№256-ФЗ </w:t>
      </w:r>
      <w:bookmarkEnd w:id="2"/>
      <w:r w:rsidRPr="001A068D">
        <w:rPr>
          <w:rFonts w:ascii="Times New Roman" w:hAnsi="Times New Roman" w:cs="Times New Roman"/>
          <w:sz w:val="28"/>
          <w:szCs w:val="28"/>
        </w:rPr>
        <w:t>от 21.07.2014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7F069C" w:rsidRPr="001A068D">
        <w:rPr>
          <w:rFonts w:ascii="Times New Roman" w:hAnsi="Times New Roman" w:cs="Times New Roman"/>
          <w:sz w:val="28"/>
          <w:szCs w:val="28"/>
        </w:rPr>
        <w:t>, и в соответствии с ним с 21 октября 2014 года вступили в силу изменения в Закон «Об образовании в РФ» (ФЗ №273 от 29.12.2012)</w:t>
      </w:r>
      <w:r w:rsidRPr="001A068D">
        <w:rPr>
          <w:rFonts w:ascii="Times New Roman" w:hAnsi="Times New Roman" w:cs="Times New Roman"/>
          <w:sz w:val="28"/>
          <w:szCs w:val="28"/>
        </w:rPr>
        <w:t xml:space="preserve">. Согласно </w:t>
      </w:r>
      <w:r w:rsidR="007F069C" w:rsidRPr="001A068D">
        <w:rPr>
          <w:rFonts w:ascii="Times New Roman" w:hAnsi="Times New Roman" w:cs="Times New Roman"/>
          <w:sz w:val="28"/>
          <w:szCs w:val="28"/>
        </w:rPr>
        <w:t xml:space="preserve">закону №256-ФЗ </w:t>
      </w:r>
      <w:r w:rsidRPr="001A068D">
        <w:rPr>
          <w:rFonts w:ascii="Times New Roman" w:hAnsi="Times New Roman" w:cs="Times New Roman"/>
          <w:sz w:val="28"/>
          <w:szCs w:val="28"/>
        </w:rPr>
        <w:t>вносятся изменения в принципы организации независимой оценки качества образования. Так, часть 1 статьи 6 (полномочия федеральных органов государственной власти в сфере образования) и часть 1 статьи 8 (полномочия органов государственной власти субъектов РФ в сфере образования) Федерального закона «Об образовании в РФ» были соответственно дополнены пунктами, предусматривающими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Кроме того, внесены изменения в статью 95 (независимая оценка качества образования). В новой редакции дано более лаконичное определение назначения и структуры независимой оценки качества образования. Согласно новым юридическим нормам,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 (п. 3 ст. 95). Предыдущая версия закона регламентировала, что независимая оценка качества образования осуществляется юридическим лицом или индивидуальным предпринимателем, то есть оценку могли проводить любые организации. Это вызывало много замечаний экспертов, поскольку создавало благоприятные условия для «расцвета» недобросовестных оценщиков. Пункт 4 статьи 95 теперь предусматривает открытость организаций, осуществляющих независимую оценку качества образования, которые должны размещать в интернете информацию о порядке проведения и результатах независимой оценки качества образования.</w:t>
      </w:r>
    </w:p>
    <w:p w14:paraId="0B53FD25" w14:textId="30231C4E"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14:paraId="4B8D8935" w14:textId="33FDD935" w:rsidR="000823B8" w:rsidRPr="001A068D" w:rsidRDefault="000823B8" w:rsidP="001A068D">
      <w:pPr>
        <w:pStyle w:val="a3"/>
        <w:numPr>
          <w:ilvl w:val="0"/>
          <w:numId w:val="1"/>
        </w:numPr>
        <w:spacing w:after="0" w:line="276" w:lineRule="auto"/>
        <w:ind w:left="0" w:firstLine="709"/>
        <w:jc w:val="both"/>
        <w:rPr>
          <w:rFonts w:ascii="Times New Roman" w:hAnsi="Times New Roman" w:cs="Times New Roman"/>
          <w:b/>
          <w:sz w:val="28"/>
          <w:szCs w:val="28"/>
        </w:rPr>
      </w:pPr>
      <w:r w:rsidRPr="001A068D">
        <w:rPr>
          <w:rFonts w:ascii="Times New Roman" w:hAnsi="Times New Roman" w:cs="Times New Roman"/>
          <w:b/>
          <w:sz w:val="28"/>
          <w:szCs w:val="28"/>
        </w:rPr>
        <w:lastRenderedPageBreak/>
        <w:t>Итоги сравнительного анализа экспертных отчетов о независимой оценке и профессионально-общественной аккредитации образовательных программ за 2014 год.</w:t>
      </w:r>
    </w:p>
    <w:p w14:paraId="3659F44C" w14:textId="03FF4C2A" w:rsidR="002A23C3" w:rsidRPr="001A068D" w:rsidRDefault="002A23C3"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результате сравнительного анализа экспертных отчетов за 2014 год были выявлены </w:t>
      </w:r>
      <w:r w:rsidR="004C0661" w:rsidRPr="001A068D">
        <w:rPr>
          <w:rFonts w:ascii="Times New Roman" w:hAnsi="Times New Roman" w:cs="Times New Roman"/>
          <w:sz w:val="28"/>
          <w:szCs w:val="28"/>
        </w:rPr>
        <w:t xml:space="preserve">основные тренды по каждому из критериев оценки, применяемых АККОРК при проведении независимой оценки и профессионально-общественной аккредитации образовательных программ, характерные на данный период для работы образовательных организаций на территории Российской Федерации. </w:t>
      </w:r>
    </w:p>
    <w:p w14:paraId="307FBC83" w14:textId="2F6FB7D8" w:rsidR="002A23C3" w:rsidRPr="001A068D" w:rsidRDefault="002A23C3" w:rsidP="001A068D">
      <w:pPr>
        <w:spacing w:after="0" w:line="276" w:lineRule="auto"/>
        <w:ind w:firstLine="709"/>
        <w:jc w:val="both"/>
        <w:rPr>
          <w:rFonts w:ascii="Times New Roman" w:hAnsi="Times New Roman" w:cs="Times New Roman"/>
          <w:sz w:val="28"/>
          <w:szCs w:val="28"/>
        </w:rPr>
      </w:pPr>
    </w:p>
    <w:p w14:paraId="70D2E6A5" w14:textId="6B952FD7" w:rsidR="002A23C3" w:rsidRPr="00130BDF" w:rsidRDefault="00446A10" w:rsidP="001A068D">
      <w:pPr>
        <w:spacing w:after="0" w:line="276" w:lineRule="auto"/>
        <w:ind w:firstLine="709"/>
        <w:jc w:val="both"/>
        <w:rPr>
          <w:rFonts w:ascii="Times New Roman" w:hAnsi="Times New Roman" w:cs="Times New Roman"/>
          <w:b/>
          <w:sz w:val="28"/>
          <w:szCs w:val="28"/>
        </w:rPr>
      </w:pPr>
      <w:r w:rsidRPr="00130BDF">
        <w:rPr>
          <w:rFonts w:ascii="Times New Roman" w:hAnsi="Times New Roman" w:cs="Times New Roman"/>
          <w:b/>
          <w:sz w:val="28"/>
          <w:szCs w:val="28"/>
          <w:lang w:val="en-US"/>
        </w:rPr>
        <w:t>I</w:t>
      </w:r>
      <w:r w:rsidR="004C0661" w:rsidRPr="00130BDF">
        <w:rPr>
          <w:rFonts w:ascii="Times New Roman" w:hAnsi="Times New Roman" w:cs="Times New Roman"/>
          <w:b/>
          <w:sz w:val="28"/>
          <w:szCs w:val="28"/>
        </w:rPr>
        <w:t xml:space="preserve">. </w:t>
      </w:r>
      <w:r w:rsidR="002A23C3" w:rsidRPr="00130BDF">
        <w:rPr>
          <w:rFonts w:ascii="Times New Roman" w:hAnsi="Times New Roman" w:cs="Times New Roman"/>
          <w:b/>
          <w:sz w:val="28"/>
          <w:szCs w:val="28"/>
        </w:rPr>
        <w:t>КАЧЕСТВО РЕЗУЛЬТАТОВ ОБУЧЕНИЯ</w:t>
      </w:r>
    </w:p>
    <w:p w14:paraId="1C4024EF" w14:textId="63D5A4F6" w:rsidR="002F12C2" w:rsidRDefault="002F12C2" w:rsidP="001A068D">
      <w:pPr>
        <w:pStyle w:val="a3"/>
        <w:numPr>
          <w:ilvl w:val="1"/>
          <w:numId w:val="2"/>
        </w:numPr>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t xml:space="preserve">Прямая оценка компетенций экспертами </w:t>
      </w:r>
    </w:p>
    <w:p w14:paraId="1BCAD93F" w14:textId="2A256604" w:rsidR="002F12C2" w:rsidRPr="001A068D" w:rsidRDefault="00E0533B"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процессе очных визитов эксперты проводили прямую оценку компетенций выпускников, при которой обычно использовались тестовые материалы, подготовленные образовательным учреждением и признанные экспертом валидными, а также вопросы, ориентированные на выявление профессиональных и личностных компетенций выпускников. В проведении прямой оценки во всех случаях участвовала группа выпускников, составляющая более 45% учащихся (в большинств</w:t>
      </w:r>
      <w:r w:rsidR="00A56056">
        <w:rPr>
          <w:rFonts w:ascii="Times New Roman" w:hAnsi="Times New Roman" w:cs="Times New Roman"/>
          <w:sz w:val="28"/>
          <w:szCs w:val="28"/>
        </w:rPr>
        <w:t>е случаев – более 60% учащихся)</w:t>
      </w:r>
      <w:r w:rsidRPr="001A068D">
        <w:rPr>
          <w:rFonts w:ascii="Times New Roman" w:hAnsi="Times New Roman" w:cs="Times New Roman"/>
          <w:sz w:val="28"/>
          <w:szCs w:val="28"/>
        </w:rPr>
        <w:t xml:space="preserve"> выпускного курса. В результате прямой оценки определялась доля студентов, чей уровень знаний является достаточным (справились с 80% предложенных заданий), приемлемым (от 50 до 79 % заданий были выполнены) и низким (решенный процент заданий меньше или равен 49%)</w:t>
      </w:r>
      <w:r w:rsidR="002F12C2" w:rsidRPr="001A068D">
        <w:rPr>
          <w:rFonts w:ascii="Times New Roman" w:hAnsi="Times New Roman" w:cs="Times New Roman"/>
          <w:sz w:val="28"/>
          <w:szCs w:val="28"/>
        </w:rPr>
        <w:t>.</w:t>
      </w:r>
    </w:p>
    <w:p w14:paraId="1095C503" w14:textId="7B515DA0" w:rsidR="004C0661" w:rsidRPr="001A068D" w:rsidRDefault="002F12C2"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По результатам сопоставления оценок по данному критерию во всех экспертных отчетах за 2014 год было выявлено, что в среднем доля учащихся выпускного курса, обладающих достаточным уровнем знаний, составляет 72%. </w:t>
      </w:r>
      <w:r w:rsidR="004C0661" w:rsidRPr="001A068D">
        <w:rPr>
          <w:rFonts w:ascii="Times New Roman" w:hAnsi="Times New Roman" w:cs="Times New Roman"/>
          <w:sz w:val="28"/>
          <w:szCs w:val="28"/>
        </w:rPr>
        <w:t>Это позволяет сделать выводы о высоком уровне качества предоставляемого им образования.</w:t>
      </w:r>
    </w:p>
    <w:p w14:paraId="07B184B4" w14:textId="7BF61EA0" w:rsidR="00BD3889" w:rsidRPr="001A068D" w:rsidRDefault="002F12C2"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Также эксперты знакомились с выпускными квалификационными работами в объеме не ниже </w:t>
      </w:r>
      <w:r w:rsidR="004E35DB" w:rsidRPr="001A068D">
        <w:rPr>
          <w:rFonts w:ascii="Times New Roman" w:hAnsi="Times New Roman" w:cs="Times New Roman"/>
          <w:sz w:val="28"/>
          <w:szCs w:val="28"/>
        </w:rPr>
        <w:t>25</w:t>
      </w:r>
      <w:r w:rsidRPr="001A068D">
        <w:rPr>
          <w:rFonts w:ascii="Times New Roman" w:hAnsi="Times New Roman" w:cs="Times New Roman"/>
          <w:sz w:val="28"/>
          <w:szCs w:val="28"/>
        </w:rPr>
        <w:t>% от выпускных работ 2014 года</w:t>
      </w:r>
      <w:r w:rsidR="00D221DB" w:rsidRPr="001A068D">
        <w:rPr>
          <w:rFonts w:ascii="Times New Roman" w:hAnsi="Times New Roman" w:cs="Times New Roman"/>
          <w:sz w:val="28"/>
          <w:szCs w:val="28"/>
        </w:rPr>
        <w:t xml:space="preserve"> (или предыдущего года)</w:t>
      </w:r>
      <w:r w:rsidRPr="001A068D">
        <w:rPr>
          <w:rFonts w:ascii="Times New Roman" w:hAnsi="Times New Roman" w:cs="Times New Roman"/>
          <w:sz w:val="28"/>
          <w:szCs w:val="28"/>
        </w:rPr>
        <w:t xml:space="preserve"> по данному направлению.</w:t>
      </w:r>
      <w:r w:rsidR="004E35DB" w:rsidRPr="001A068D">
        <w:rPr>
          <w:rFonts w:ascii="Times New Roman" w:hAnsi="Times New Roman" w:cs="Times New Roman"/>
          <w:sz w:val="28"/>
          <w:szCs w:val="28"/>
        </w:rPr>
        <w:t xml:space="preserve"> В результате оценки ВКР</w:t>
      </w:r>
      <w:r w:rsidR="00BD3889" w:rsidRPr="001A068D">
        <w:rPr>
          <w:rFonts w:ascii="Times New Roman" w:hAnsi="Times New Roman" w:cs="Times New Roman"/>
          <w:sz w:val="28"/>
          <w:szCs w:val="28"/>
        </w:rPr>
        <w:t xml:space="preserve"> на соответствие установленным требованиям эксперты сделали выводы о том, что превалирующая часть ВКР по своей теме соответствует направлению подготовки и современному уровню развития науки, техники и технологий в области программы, а задания и содержание ВКР направлены на подтверждение сформированности компетенций выпускника. В то же время в 30% отчетов эксперты отмечают частичное соответствие требованиям по следующим показателям: </w:t>
      </w:r>
    </w:p>
    <w:p w14:paraId="1ED0FD1C" w14:textId="6BF31B85" w:rsidR="00BD3889" w:rsidRPr="001A068D" w:rsidRDefault="00BD3889"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lastRenderedPageBreak/>
        <w:t>- тематика ВКР определена запросами производственных организаций и задачами экспериментальной деятельности, решаемыми преподавателями ОУ;</w:t>
      </w:r>
    </w:p>
    <w:p w14:paraId="1A29D29B" w14:textId="396CF6C8" w:rsidR="00BD3889" w:rsidRPr="001A068D" w:rsidRDefault="00BD3889"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результаты ВКР находят практическое применение в производстве;</w:t>
      </w:r>
    </w:p>
    <w:p w14:paraId="7B81B52A" w14:textId="75381150" w:rsidR="002F12C2" w:rsidRPr="001A068D" w:rsidRDefault="00BD3889"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степень использования при выполнении самостоятельных исследовательских частей ВКР результатов НИД кафедры, факультета и сторонних научно-производственных и/или научно-исследовательских организаций.</w:t>
      </w:r>
    </w:p>
    <w:p w14:paraId="02FD337C" w14:textId="77777777" w:rsidR="000D5AB6" w:rsidRPr="001A068D" w:rsidRDefault="000D5AB6" w:rsidP="001A068D">
      <w:pPr>
        <w:spacing w:after="0" w:line="276" w:lineRule="auto"/>
        <w:ind w:firstLine="709"/>
        <w:jc w:val="both"/>
        <w:rPr>
          <w:rFonts w:ascii="Times New Roman" w:hAnsi="Times New Roman" w:cs="Times New Roman"/>
          <w:sz w:val="28"/>
          <w:szCs w:val="28"/>
        </w:rPr>
      </w:pPr>
    </w:p>
    <w:p w14:paraId="79D8BCED" w14:textId="21F463F6" w:rsidR="00130BDF" w:rsidRPr="00130BDF" w:rsidRDefault="00BD3889" w:rsidP="00130BDF">
      <w:pPr>
        <w:pStyle w:val="a3"/>
        <w:numPr>
          <w:ilvl w:val="1"/>
          <w:numId w:val="2"/>
        </w:numPr>
        <w:spacing w:after="0" w:line="276" w:lineRule="auto"/>
        <w:ind w:firstLine="4"/>
        <w:jc w:val="both"/>
        <w:rPr>
          <w:rFonts w:ascii="Times New Roman" w:hAnsi="Times New Roman" w:cs="Times New Roman"/>
          <w:b/>
          <w:sz w:val="28"/>
          <w:szCs w:val="28"/>
        </w:rPr>
      </w:pPr>
      <w:r w:rsidRPr="00130BDF">
        <w:rPr>
          <w:rFonts w:ascii="Times New Roman" w:hAnsi="Times New Roman" w:cs="Times New Roman"/>
          <w:b/>
          <w:sz w:val="28"/>
          <w:szCs w:val="28"/>
        </w:rPr>
        <w:t>Выводы и рекомендации экспертов</w:t>
      </w:r>
    </w:p>
    <w:p w14:paraId="072FFA72" w14:textId="7F3799DA" w:rsidR="00446A10" w:rsidRPr="001A068D" w:rsidRDefault="00BD3889" w:rsidP="00EC7594">
      <w:pPr>
        <w:pStyle w:val="a3"/>
        <w:spacing w:after="0" w:line="276" w:lineRule="auto"/>
        <w:ind w:left="0"/>
        <w:jc w:val="both"/>
        <w:rPr>
          <w:rFonts w:ascii="Times New Roman" w:hAnsi="Times New Roman" w:cs="Times New Roman"/>
          <w:sz w:val="28"/>
          <w:szCs w:val="28"/>
        </w:rPr>
      </w:pPr>
      <w:r w:rsidRPr="00130BDF">
        <w:rPr>
          <w:rFonts w:ascii="Times New Roman" w:hAnsi="Times New Roman" w:cs="Times New Roman"/>
          <w:b/>
          <w:sz w:val="28"/>
          <w:szCs w:val="28"/>
        </w:rPr>
        <w:tab/>
      </w:r>
      <w:r w:rsidRPr="001A068D">
        <w:rPr>
          <w:rFonts w:ascii="Times New Roman" w:hAnsi="Times New Roman" w:cs="Times New Roman"/>
          <w:sz w:val="28"/>
          <w:szCs w:val="28"/>
        </w:rPr>
        <w:t>В то время как абсолютное большинство экспертов, участвовавших в процедурах независимой оценки качества и профессионально-общественной аккредитации образовательных программ в 2014 году, свидетельствуют о достаточном уровне знаний учащихся, выявленном в результате прямой оценки компетенций и изучения ВКР, среди замечаний, сформулированных ими в целях повышения качества программ, выявляются общие тенденции:</w:t>
      </w:r>
      <w:r w:rsidR="00446A10" w:rsidRPr="001A068D">
        <w:rPr>
          <w:rFonts w:ascii="Times New Roman" w:hAnsi="Times New Roman" w:cs="Times New Roman"/>
          <w:sz w:val="28"/>
          <w:szCs w:val="28"/>
        </w:rPr>
        <w:t xml:space="preserve"> </w:t>
      </w:r>
    </w:p>
    <w:p w14:paraId="0AAF5594" w14:textId="4494E452" w:rsidR="00BD3889" w:rsidRPr="001A068D" w:rsidRDefault="00446A10"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в некоторых случаях признается недостаточной связь образовательного процесса с результатами научно-исследовательской деятельности соответствующей кафедры, факультета, вуза, а также иных научно-исследовательских организаций;</w:t>
      </w:r>
    </w:p>
    <w:p w14:paraId="0DCB5DD0" w14:textId="29A4C66B" w:rsidR="00446A10" w:rsidRPr="001A068D" w:rsidRDefault="00BD3889"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 </w:t>
      </w:r>
      <w:r w:rsidR="00446A10" w:rsidRPr="001A068D">
        <w:rPr>
          <w:rFonts w:ascii="Times New Roman" w:hAnsi="Times New Roman" w:cs="Times New Roman"/>
          <w:sz w:val="28"/>
          <w:szCs w:val="28"/>
        </w:rPr>
        <w:t>во многих случаях признается недостаточной связь образовательного процесса и деятельности работодателей по соответствующему направлению. В связи с этим предлагается заключать совместные договор</w:t>
      </w:r>
      <w:r w:rsidR="00A56056">
        <w:rPr>
          <w:rFonts w:ascii="Times New Roman" w:hAnsi="Times New Roman" w:cs="Times New Roman"/>
          <w:sz w:val="28"/>
          <w:szCs w:val="28"/>
        </w:rPr>
        <w:t>ы</w:t>
      </w:r>
      <w:r w:rsidR="00446A10" w:rsidRPr="001A068D">
        <w:rPr>
          <w:rFonts w:ascii="Times New Roman" w:hAnsi="Times New Roman" w:cs="Times New Roman"/>
          <w:sz w:val="28"/>
          <w:szCs w:val="28"/>
        </w:rPr>
        <w:t xml:space="preserve"> на научно-исследовательские и/или хоздоговорные работы между выпускающими кафедрами и предприятиями-работодателями с привлечением в качестве соисполнителей не только преподавателей кафедр, но и обучающихся на О</w:t>
      </w:r>
      <w:r w:rsidR="006170B3">
        <w:rPr>
          <w:rFonts w:ascii="Times New Roman" w:hAnsi="Times New Roman" w:cs="Times New Roman"/>
          <w:sz w:val="28"/>
          <w:szCs w:val="28"/>
        </w:rPr>
        <w:t>П (образовательной программе)</w:t>
      </w:r>
      <w:r w:rsidR="00446A10" w:rsidRPr="001A068D">
        <w:rPr>
          <w:rFonts w:ascii="Times New Roman" w:hAnsi="Times New Roman" w:cs="Times New Roman"/>
          <w:sz w:val="28"/>
          <w:szCs w:val="28"/>
        </w:rPr>
        <w:t xml:space="preserve"> студентов, привлекать работодателей к формированию тем ВКР, а также к их рецензированию,  повысить процент практического применения ВКР, так как на сегодняшний день он относительно низок и (по данным отчетов) составляет 10-40%.</w:t>
      </w:r>
    </w:p>
    <w:p w14:paraId="05ED1327" w14:textId="77777777" w:rsidR="00446A10" w:rsidRPr="001A068D" w:rsidRDefault="00446A10" w:rsidP="001A068D">
      <w:pPr>
        <w:spacing w:after="0" w:line="276" w:lineRule="auto"/>
        <w:ind w:firstLine="709"/>
        <w:jc w:val="both"/>
        <w:rPr>
          <w:rFonts w:ascii="Times New Roman" w:hAnsi="Times New Roman" w:cs="Times New Roman"/>
          <w:sz w:val="28"/>
          <w:szCs w:val="28"/>
        </w:rPr>
      </w:pPr>
    </w:p>
    <w:p w14:paraId="29890BC3" w14:textId="77777777" w:rsidR="001A068D" w:rsidRPr="00A56056" w:rsidRDefault="001A068D" w:rsidP="001A068D">
      <w:pPr>
        <w:spacing w:line="276" w:lineRule="auto"/>
        <w:rPr>
          <w:rFonts w:ascii="Times New Roman" w:hAnsi="Times New Roman" w:cs="Times New Roman"/>
          <w:sz w:val="28"/>
          <w:szCs w:val="28"/>
        </w:rPr>
      </w:pPr>
      <w:r w:rsidRPr="00A56056">
        <w:rPr>
          <w:rFonts w:ascii="Times New Roman" w:hAnsi="Times New Roman" w:cs="Times New Roman"/>
          <w:sz w:val="28"/>
          <w:szCs w:val="28"/>
        </w:rPr>
        <w:br w:type="page"/>
      </w:r>
    </w:p>
    <w:p w14:paraId="54A65BD3" w14:textId="309A4656" w:rsidR="002A23C3" w:rsidRPr="00130BDF" w:rsidRDefault="00446A10" w:rsidP="001A068D">
      <w:pPr>
        <w:spacing w:after="0" w:line="276" w:lineRule="auto"/>
        <w:ind w:firstLine="709"/>
        <w:jc w:val="both"/>
        <w:rPr>
          <w:rFonts w:ascii="Times New Roman" w:hAnsi="Times New Roman" w:cs="Times New Roman"/>
          <w:b/>
          <w:sz w:val="28"/>
          <w:szCs w:val="28"/>
        </w:rPr>
      </w:pPr>
      <w:r w:rsidRPr="00130BDF">
        <w:rPr>
          <w:rFonts w:ascii="Times New Roman" w:hAnsi="Times New Roman" w:cs="Times New Roman"/>
          <w:b/>
          <w:sz w:val="28"/>
          <w:szCs w:val="28"/>
          <w:lang w:val="en-US"/>
        </w:rPr>
        <w:lastRenderedPageBreak/>
        <w:t>II</w:t>
      </w:r>
      <w:r w:rsidRPr="00130BDF">
        <w:rPr>
          <w:rFonts w:ascii="Times New Roman" w:hAnsi="Times New Roman" w:cs="Times New Roman"/>
          <w:b/>
          <w:sz w:val="28"/>
          <w:szCs w:val="28"/>
        </w:rPr>
        <w:t>.</w:t>
      </w:r>
      <w:r w:rsidR="002A23C3" w:rsidRPr="00130BDF">
        <w:rPr>
          <w:rFonts w:ascii="Times New Roman" w:hAnsi="Times New Roman" w:cs="Times New Roman"/>
          <w:b/>
          <w:sz w:val="28"/>
          <w:szCs w:val="28"/>
        </w:rPr>
        <w:tab/>
        <w:t>ГАРАНТИИ КАЧЕСТВА ОБРАЗОВАНИЯ</w:t>
      </w:r>
      <w:r w:rsidR="002A23C3" w:rsidRPr="00130BDF">
        <w:rPr>
          <w:rFonts w:ascii="Times New Roman" w:hAnsi="Times New Roman" w:cs="Times New Roman"/>
          <w:b/>
          <w:sz w:val="28"/>
          <w:szCs w:val="28"/>
        </w:rPr>
        <w:tab/>
      </w:r>
    </w:p>
    <w:p w14:paraId="74DE47BC" w14:textId="1EFE1CBE" w:rsidR="00EE7F93" w:rsidRPr="00130BDF" w:rsidRDefault="002A23C3"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t>Стратегия, цели и менеджмент программы</w:t>
      </w:r>
    </w:p>
    <w:p w14:paraId="753B463C" w14:textId="5046ED38" w:rsidR="000638A8" w:rsidRPr="001A068D" w:rsidRDefault="00F61314"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абсолютном большинстве отчетов отмечается, что стратегии развития программ нацелен</w:t>
      </w:r>
      <w:r w:rsidR="00A56056">
        <w:rPr>
          <w:rFonts w:ascii="Times New Roman" w:hAnsi="Times New Roman" w:cs="Times New Roman"/>
          <w:sz w:val="28"/>
          <w:szCs w:val="28"/>
        </w:rPr>
        <w:t>а</w:t>
      </w:r>
      <w:r w:rsidRPr="001A068D">
        <w:rPr>
          <w:rFonts w:ascii="Times New Roman" w:hAnsi="Times New Roman" w:cs="Times New Roman"/>
          <w:sz w:val="28"/>
          <w:szCs w:val="28"/>
        </w:rPr>
        <w:t xml:space="preserve"> на укрепление сильных сторон программ, позиционирование их актуальности и уникальных преимуществ в сравнении с конкурентами. Стратегии большинства программ разработаны в соответствии с применимыми стандартами, отраслевыми требованиями и потребностями рынка труда.</w:t>
      </w:r>
      <w:r w:rsidR="009D11CE" w:rsidRPr="001A068D">
        <w:rPr>
          <w:rFonts w:ascii="Times New Roman" w:hAnsi="Times New Roman" w:cs="Times New Roman"/>
          <w:sz w:val="28"/>
          <w:szCs w:val="28"/>
        </w:rPr>
        <w:t xml:space="preserve"> </w:t>
      </w:r>
      <w:r w:rsidR="000638A8" w:rsidRPr="001A068D">
        <w:rPr>
          <w:rFonts w:ascii="Times New Roman" w:hAnsi="Times New Roman" w:cs="Times New Roman"/>
          <w:sz w:val="28"/>
          <w:szCs w:val="28"/>
        </w:rPr>
        <w:t xml:space="preserve">Уровень соответствия целей </w:t>
      </w:r>
      <w:r w:rsidR="006170B3">
        <w:rPr>
          <w:rFonts w:ascii="Times New Roman" w:hAnsi="Times New Roman" w:cs="Times New Roman"/>
          <w:sz w:val="28"/>
          <w:szCs w:val="28"/>
        </w:rPr>
        <w:t>ОП</w:t>
      </w:r>
      <w:r w:rsidR="000638A8" w:rsidRPr="001A068D">
        <w:rPr>
          <w:rFonts w:ascii="Times New Roman" w:hAnsi="Times New Roman" w:cs="Times New Roman"/>
          <w:sz w:val="28"/>
          <w:szCs w:val="28"/>
        </w:rPr>
        <w:t xml:space="preserve"> запросам рынка труда оценивается как высокий (выше 70%) в большинстве отчетов. При этом отмечается, что цели некоторой части оцененных программ (25%) не полностью известны и ясны учащимся, а в единичных случаях – и преподавателям.  </w:t>
      </w:r>
    </w:p>
    <w:p w14:paraId="1998A30A" w14:textId="312861C3" w:rsidR="009D11CE" w:rsidRPr="001A068D" w:rsidRDefault="009D11CE"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Практически во всех образовательных организациях, прошедших оценку, разработана и внедрена на программном уровне система внутреннего мониторинга качества образования, которая позволяет периодически оценивать качество подготовки учащихся и условий реализации программы. При этом в части отчетов отмечается, что, хотя система мониторинга и действует, но не предполагает сравнения с уровнем знаний, требуемых от выпускников рынком труда. </w:t>
      </w:r>
    </w:p>
    <w:p w14:paraId="720D0F38" w14:textId="5462D588" w:rsidR="009D11CE" w:rsidRPr="001A068D" w:rsidRDefault="009D11CE"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Критерии и показатели, используемые при проведении внутреннего аудита, </w:t>
      </w:r>
      <w:r w:rsidR="000638A8" w:rsidRPr="001A068D">
        <w:rPr>
          <w:rFonts w:ascii="Times New Roman" w:hAnsi="Times New Roman" w:cs="Times New Roman"/>
          <w:sz w:val="28"/>
          <w:szCs w:val="28"/>
        </w:rPr>
        <w:t xml:space="preserve">не всегда </w:t>
      </w:r>
      <w:r w:rsidRPr="001A068D">
        <w:rPr>
          <w:rFonts w:ascii="Times New Roman" w:hAnsi="Times New Roman" w:cs="Times New Roman"/>
          <w:sz w:val="28"/>
          <w:szCs w:val="28"/>
        </w:rPr>
        <w:t xml:space="preserve">согласованы с работодателями </w:t>
      </w:r>
      <w:r w:rsidR="000638A8" w:rsidRPr="001A068D">
        <w:rPr>
          <w:rFonts w:ascii="Times New Roman" w:hAnsi="Times New Roman" w:cs="Times New Roman"/>
          <w:sz w:val="28"/>
          <w:szCs w:val="28"/>
        </w:rPr>
        <w:t>(около 25% отчетов содержат по данному показателю пометку «частично»).</w:t>
      </w:r>
    </w:p>
    <w:p w14:paraId="038A00CD" w14:textId="174CA2C5" w:rsidR="009D11CE" w:rsidRPr="001A068D" w:rsidRDefault="009D11CE"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нескольких отчетах эксперты идентифицируют угрозу недостаточно быстрого реагирования руководства программы на изменение условий ее реализации, в связи с чем рекомендуют проведение анализа конкурентной среды программы, определения ее сильных сторон, перспектив и угроз, и подчеркивают необходимость отражения результатов данного анализа в стратегии.</w:t>
      </w:r>
    </w:p>
    <w:p w14:paraId="724926CC" w14:textId="142F3873" w:rsidR="009D11CE" w:rsidRPr="001A068D" w:rsidRDefault="009D11CE"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Что касается лояльности сотрудников, то ее уровень традиционно высок, что отражают все проанализированные отчеты. При этом некоторые эксперты указывают на то, что</w:t>
      </w:r>
      <w:r w:rsidR="000638A8" w:rsidRPr="001A068D">
        <w:rPr>
          <w:rFonts w:ascii="Times New Roman" w:hAnsi="Times New Roman" w:cs="Times New Roman"/>
          <w:sz w:val="28"/>
          <w:szCs w:val="28"/>
        </w:rPr>
        <w:t xml:space="preserve"> </w:t>
      </w:r>
      <w:r w:rsidRPr="001A068D">
        <w:rPr>
          <w:rFonts w:ascii="Times New Roman" w:hAnsi="Times New Roman" w:cs="Times New Roman"/>
          <w:sz w:val="28"/>
          <w:szCs w:val="28"/>
        </w:rPr>
        <w:t>руководству необходимо более интенсивно включать современные тенденции и методы работы с персоналом, используемые ведущими российскими и зарубежными предприятиями</w:t>
      </w:r>
      <w:r w:rsidR="000638A8" w:rsidRPr="001A068D">
        <w:rPr>
          <w:rFonts w:ascii="Times New Roman" w:hAnsi="Times New Roman" w:cs="Times New Roman"/>
          <w:sz w:val="28"/>
          <w:szCs w:val="28"/>
        </w:rPr>
        <w:t>.</w:t>
      </w:r>
    </w:p>
    <w:p w14:paraId="0B935314" w14:textId="527ACD9C" w:rsidR="00BA794B" w:rsidRPr="001A068D" w:rsidRDefault="00BA794B" w:rsidP="001A068D">
      <w:pPr>
        <w:spacing w:after="0" w:line="276" w:lineRule="auto"/>
        <w:ind w:firstLine="709"/>
        <w:jc w:val="both"/>
        <w:rPr>
          <w:rFonts w:ascii="Times New Roman" w:hAnsi="Times New Roman" w:cs="Times New Roman"/>
          <w:sz w:val="28"/>
          <w:szCs w:val="28"/>
        </w:rPr>
      </w:pPr>
    </w:p>
    <w:p w14:paraId="3607FB11"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6864CBB4" w14:textId="09950C5D" w:rsidR="009D11CE" w:rsidRPr="00130BDF" w:rsidRDefault="009D11CE"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Структура и содержание программы</w:t>
      </w:r>
    </w:p>
    <w:p w14:paraId="6E96BC03" w14:textId="538856A3" w:rsidR="009D11CE" w:rsidRPr="001A068D" w:rsidRDefault="000638A8"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Структура и содержание всех оцененных программ полностью соответствует требованиям ФГОС. </w:t>
      </w:r>
      <w:r w:rsidR="00913733" w:rsidRPr="001A068D">
        <w:rPr>
          <w:rFonts w:ascii="Times New Roman" w:hAnsi="Times New Roman" w:cs="Times New Roman"/>
          <w:sz w:val="28"/>
          <w:szCs w:val="28"/>
        </w:rPr>
        <w:t xml:space="preserve">Кроме того, значительная часть программ помимо компетенций ФГОС учитывают специальные компетенции, предложенные потенциальными работодателями. В целом </w:t>
      </w:r>
      <w:r w:rsidRPr="001A068D">
        <w:rPr>
          <w:rFonts w:ascii="Times New Roman" w:hAnsi="Times New Roman" w:cs="Times New Roman"/>
          <w:sz w:val="28"/>
          <w:szCs w:val="28"/>
        </w:rPr>
        <w:t xml:space="preserve">структура и содержание </w:t>
      </w:r>
      <w:r w:rsidR="00913733" w:rsidRPr="001A068D">
        <w:rPr>
          <w:rFonts w:ascii="Times New Roman" w:hAnsi="Times New Roman" w:cs="Times New Roman"/>
          <w:sz w:val="28"/>
          <w:szCs w:val="28"/>
        </w:rPr>
        <w:t xml:space="preserve">соответствуют целям и задачам </w:t>
      </w:r>
      <w:r w:rsidR="006170B3">
        <w:rPr>
          <w:rFonts w:ascii="Times New Roman" w:hAnsi="Times New Roman" w:cs="Times New Roman"/>
          <w:sz w:val="28"/>
          <w:szCs w:val="28"/>
        </w:rPr>
        <w:t>ОП</w:t>
      </w:r>
      <w:r w:rsidR="00913733" w:rsidRPr="001A068D">
        <w:rPr>
          <w:rFonts w:ascii="Times New Roman" w:hAnsi="Times New Roman" w:cs="Times New Roman"/>
          <w:sz w:val="28"/>
          <w:szCs w:val="28"/>
        </w:rPr>
        <w:t xml:space="preserve"> и потребностям региона</w:t>
      </w:r>
      <w:r w:rsidRPr="001A068D">
        <w:rPr>
          <w:rFonts w:ascii="Times New Roman" w:hAnsi="Times New Roman" w:cs="Times New Roman"/>
          <w:sz w:val="28"/>
          <w:szCs w:val="28"/>
        </w:rPr>
        <w:t>.</w:t>
      </w:r>
    </w:p>
    <w:p w14:paraId="3D637445" w14:textId="52F0A6E0" w:rsidR="000638A8" w:rsidRPr="001A068D" w:rsidRDefault="000638A8"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Также опрос обучающихся студентов показывает, что структура и содержание программы соответствуют их ожиданиям (</w:t>
      </w:r>
      <w:r w:rsidR="00EC7594" w:rsidRPr="001A068D">
        <w:rPr>
          <w:rFonts w:ascii="Times New Roman" w:hAnsi="Times New Roman" w:cs="Times New Roman"/>
          <w:sz w:val="28"/>
          <w:szCs w:val="28"/>
        </w:rPr>
        <w:t>в большинстве</w:t>
      </w:r>
      <w:r w:rsidRPr="001A068D">
        <w:rPr>
          <w:rFonts w:ascii="Times New Roman" w:hAnsi="Times New Roman" w:cs="Times New Roman"/>
          <w:sz w:val="28"/>
          <w:szCs w:val="28"/>
        </w:rPr>
        <w:t xml:space="preserve"> отчетов этот показатель выше 70%)</w:t>
      </w:r>
      <w:r w:rsidR="00B03408" w:rsidRPr="001A068D">
        <w:rPr>
          <w:rFonts w:ascii="Times New Roman" w:hAnsi="Times New Roman" w:cs="Times New Roman"/>
          <w:sz w:val="28"/>
          <w:szCs w:val="28"/>
        </w:rPr>
        <w:t>.</w:t>
      </w:r>
    </w:p>
    <w:p w14:paraId="1875C9EF" w14:textId="548D6520" w:rsidR="00BA794B" w:rsidRPr="001A068D" w:rsidRDefault="00BA794B"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При этом в 30% отчетов было отмечено неполное/частичное соответствие требо</w:t>
      </w:r>
      <w:r w:rsidR="00A56056">
        <w:rPr>
          <w:rFonts w:ascii="Times New Roman" w:hAnsi="Times New Roman" w:cs="Times New Roman"/>
          <w:sz w:val="28"/>
          <w:szCs w:val="28"/>
        </w:rPr>
        <w:t>ваниям по следующим показателям.</w:t>
      </w:r>
      <w:r w:rsidRPr="001A068D">
        <w:rPr>
          <w:rFonts w:ascii="Times New Roman" w:hAnsi="Times New Roman" w:cs="Times New Roman"/>
          <w:sz w:val="28"/>
          <w:szCs w:val="28"/>
        </w:rPr>
        <w:t xml:space="preserve"> </w:t>
      </w:r>
    </w:p>
    <w:p w14:paraId="0E60E076" w14:textId="3D0D6E73" w:rsidR="00BA794B" w:rsidRPr="001A068D" w:rsidRDefault="00BA794B" w:rsidP="001A068D">
      <w:pPr>
        <w:pStyle w:val="a3"/>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Привлечени</w:t>
      </w:r>
      <w:r w:rsidR="000638A8" w:rsidRPr="001A068D">
        <w:rPr>
          <w:rFonts w:ascii="Times New Roman" w:hAnsi="Times New Roman" w:cs="Times New Roman"/>
          <w:sz w:val="28"/>
          <w:szCs w:val="28"/>
        </w:rPr>
        <w:t>е</w:t>
      </w:r>
      <w:r w:rsidRPr="001A068D">
        <w:rPr>
          <w:rFonts w:ascii="Times New Roman" w:hAnsi="Times New Roman" w:cs="Times New Roman"/>
          <w:sz w:val="28"/>
          <w:szCs w:val="28"/>
        </w:rPr>
        <w:t xml:space="preserve"> работодателей к анализу и проектированию</w:t>
      </w:r>
      <w:r w:rsidR="00A56056">
        <w:rPr>
          <w:rFonts w:ascii="Times New Roman" w:hAnsi="Times New Roman" w:cs="Times New Roman"/>
          <w:sz w:val="28"/>
          <w:szCs w:val="28"/>
        </w:rPr>
        <w:t xml:space="preserve"> содержания программы является эффективным.</w:t>
      </w:r>
    </w:p>
    <w:p w14:paraId="72CBFCED" w14:textId="33134874" w:rsidR="00BA794B" w:rsidRPr="001A068D" w:rsidRDefault="00BA794B" w:rsidP="001A068D">
      <w:pPr>
        <w:pStyle w:val="a3"/>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К процессам разработки и актуализации учебно-методических материалов прог</w:t>
      </w:r>
      <w:r w:rsidR="00A56056">
        <w:rPr>
          <w:rFonts w:ascii="Times New Roman" w:hAnsi="Times New Roman" w:cs="Times New Roman"/>
          <w:sz w:val="28"/>
          <w:szCs w:val="28"/>
        </w:rPr>
        <w:t>раммы привлекаются работодатели.</w:t>
      </w:r>
    </w:p>
    <w:p w14:paraId="485414A7" w14:textId="05CF4B42" w:rsidR="00BA794B" w:rsidRPr="001A068D" w:rsidRDefault="00BA794B" w:rsidP="001A068D">
      <w:pPr>
        <w:pStyle w:val="a3"/>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При определении применяемых образовательные методик были учтены требования работодателей</w:t>
      </w:r>
      <w:r w:rsidR="00A56056">
        <w:rPr>
          <w:rFonts w:ascii="Times New Roman" w:hAnsi="Times New Roman" w:cs="Times New Roman"/>
          <w:sz w:val="28"/>
          <w:szCs w:val="28"/>
        </w:rPr>
        <w:t>.</w:t>
      </w:r>
    </w:p>
    <w:p w14:paraId="1AF93C30" w14:textId="77777777" w:rsidR="00B03408" w:rsidRPr="001A068D" w:rsidRDefault="00BA794B"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Наиболее частые замечания экспертов связаны с необходимостью активизации взаимодействия с работодателями. В частности, в нескольких отчетах приведена рекомендация предусмотреть возможность организации базовой кафедры ведущих работодателей, с которыми осуществляется сотрудничество в рамках организации практики студентов, а также возможность открытия кафедры на предприятиях-партнерах, которые являются основными потребителями выпускников. </w:t>
      </w:r>
    </w:p>
    <w:p w14:paraId="33C32EA2" w14:textId="5AFADC07" w:rsidR="00B03408" w:rsidRPr="001A068D" w:rsidRDefault="00B03408"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Во многих случаях у экспертов возникли претенз</w:t>
      </w:r>
      <w:r w:rsidR="00A56056">
        <w:rPr>
          <w:rFonts w:ascii="Times New Roman" w:hAnsi="Times New Roman" w:cs="Times New Roman"/>
          <w:sz w:val="28"/>
          <w:szCs w:val="28"/>
        </w:rPr>
        <w:t xml:space="preserve">ии к фондам оценочных средств: </w:t>
      </w:r>
      <w:r w:rsidRPr="001A068D">
        <w:rPr>
          <w:rFonts w:ascii="Times New Roman" w:hAnsi="Times New Roman" w:cs="Times New Roman"/>
          <w:sz w:val="28"/>
          <w:szCs w:val="28"/>
        </w:rPr>
        <w:t>рекомендуется разработать и включить в фонды оценочных средств материалы практической направленности, учитывая при этом конкретные запросы предприятий и организаций.</w:t>
      </w:r>
    </w:p>
    <w:p w14:paraId="2E4C7336" w14:textId="77777777" w:rsidR="00B03408" w:rsidRPr="001A068D" w:rsidRDefault="00B03408" w:rsidP="001A068D">
      <w:pPr>
        <w:spacing w:after="0" w:line="276" w:lineRule="auto"/>
        <w:ind w:firstLine="709"/>
        <w:jc w:val="both"/>
        <w:rPr>
          <w:rFonts w:ascii="Times New Roman" w:hAnsi="Times New Roman" w:cs="Times New Roman"/>
          <w:sz w:val="28"/>
          <w:szCs w:val="28"/>
        </w:rPr>
      </w:pPr>
    </w:p>
    <w:p w14:paraId="4C26459A"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7FDBBCED" w14:textId="6B378640" w:rsidR="002A23C3" w:rsidRPr="00130BDF" w:rsidRDefault="002A23C3"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Учебно-методические материал</w:t>
      </w:r>
      <w:r w:rsidR="00B03408" w:rsidRPr="00130BDF">
        <w:rPr>
          <w:rFonts w:ascii="Times New Roman" w:hAnsi="Times New Roman" w:cs="Times New Roman"/>
          <w:b/>
          <w:sz w:val="28"/>
          <w:szCs w:val="28"/>
        </w:rPr>
        <w:t>ы</w:t>
      </w:r>
    </w:p>
    <w:p w14:paraId="1F6CE1D4" w14:textId="77777777" w:rsidR="005A1529" w:rsidRPr="001A068D" w:rsidRDefault="002D6BC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По результатам знакомства</w:t>
      </w:r>
      <w:r w:rsidR="00E30762" w:rsidRPr="001A068D">
        <w:rPr>
          <w:rFonts w:ascii="Times New Roman" w:hAnsi="Times New Roman" w:cs="Times New Roman"/>
          <w:sz w:val="28"/>
          <w:szCs w:val="28"/>
        </w:rPr>
        <w:t xml:space="preserve"> эксперт</w:t>
      </w:r>
      <w:r w:rsidRPr="001A068D">
        <w:rPr>
          <w:rFonts w:ascii="Times New Roman" w:hAnsi="Times New Roman" w:cs="Times New Roman"/>
          <w:sz w:val="28"/>
          <w:szCs w:val="28"/>
        </w:rPr>
        <w:t>ов</w:t>
      </w:r>
      <w:r w:rsidR="00E30762" w:rsidRPr="001A068D">
        <w:rPr>
          <w:rFonts w:ascii="Times New Roman" w:hAnsi="Times New Roman" w:cs="Times New Roman"/>
          <w:sz w:val="28"/>
          <w:szCs w:val="28"/>
        </w:rPr>
        <w:t xml:space="preserve"> с разработанными в образователь</w:t>
      </w:r>
      <w:r w:rsidRPr="001A068D">
        <w:rPr>
          <w:rFonts w:ascii="Times New Roman" w:hAnsi="Times New Roman" w:cs="Times New Roman"/>
          <w:sz w:val="28"/>
          <w:szCs w:val="28"/>
        </w:rPr>
        <w:t>ных</w:t>
      </w:r>
      <w:r w:rsidR="00E30762" w:rsidRPr="001A068D">
        <w:rPr>
          <w:rFonts w:ascii="Times New Roman" w:hAnsi="Times New Roman" w:cs="Times New Roman"/>
          <w:sz w:val="28"/>
          <w:szCs w:val="28"/>
        </w:rPr>
        <w:t xml:space="preserve"> учрежден</w:t>
      </w:r>
      <w:r w:rsidRPr="001A068D">
        <w:rPr>
          <w:rFonts w:ascii="Times New Roman" w:hAnsi="Times New Roman" w:cs="Times New Roman"/>
          <w:sz w:val="28"/>
          <w:szCs w:val="28"/>
        </w:rPr>
        <w:t>иях</w:t>
      </w:r>
      <w:r w:rsidR="00E30762" w:rsidRPr="001A068D">
        <w:rPr>
          <w:rFonts w:ascii="Times New Roman" w:hAnsi="Times New Roman" w:cs="Times New Roman"/>
          <w:sz w:val="28"/>
          <w:szCs w:val="28"/>
        </w:rPr>
        <w:t xml:space="preserve"> учебно-методическими комплексами</w:t>
      </w:r>
      <w:r w:rsidRPr="001A068D">
        <w:rPr>
          <w:rFonts w:ascii="Times New Roman" w:hAnsi="Times New Roman" w:cs="Times New Roman"/>
          <w:sz w:val="28"/>
          <w:szCs w:val="28"/>
        </w:rPr>
        <w:t xml:space="preserve"> сделаны выводы о том, что в абсолютном большинстве случаев УМК проходят как внутренне, так и внешнее согласование, что позволяет обеспечить их актуальность и соответствие целям программы. При этом итоги сравнительного анализа экспертных отчетов за 2014 год демонстрируют, что в рамках более чем 50% образовательных программ в процессе подготовки и согласования УМК недостаточно активно принимают участие работодатели. Если большинство вузов проводит – хотя бы частично, согласование УМК с научным сообществом, то уровень согласованности УМК с работодателями колеблется в пределах 0 – 60%, то есть в ряде случаев является недопустимо низким. </w:t>
      </w:r>
      <w:r w:rsidR="005A1529" w:rsidRPr="001A068D">
        <w:rPr>
          <w:rFonts w:ascii="Times New Roman" w:hAnsi="Times New Roman" w:cs="Times New Roman"/>
          <w:sz w:val="28"/>
          <w:szCs w:val="28"/>
        </w:rPr>
        <w:t>В связи с этим частой рекомендацией экспертов является предложение создать условия для системного привлечения работодателей и магистрантов к разработке и актуализации УММ.</w:t>
      </w:r>
    </w:p>
    <w:p w14:paraId="16A276EB" w14:textId="2F2035A4" w:rsidR="005A1529" w:rsidRPr="001A068D" w:rsidRDefault="005A152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Также в значительной части отчетов (40%) приводится рекомендация относительно доработки КИМ для достижения практико-ориентированного содержания. Вместо тестовых материалов и предлагаемых докладов предлагается больше использовать решения управленческих ситуаций, мини-кейсов, задания, имеющие творческий характер и направленные на выявление сформированности компетенций.</w:t>
      </w:r>
    </w:p>
    <w:p w14:paraId="052B0640" w14:textId="6A7BDB6D" w:rsidR="005A1529" w:rsidRPr="001A068D" w:rsidRDefault="005A152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Еще одна частая проблема – это недостаточная осведомленность студентов о возможностях их участия в разработке УМК. В связи с этим эксперты ре</w:t>
      </w:r>
      <w:r w:rsidR="0090181C">
        <w:rPr>
          <w:rFonts w:ascii="Times New Roman" w:hAnsi="Times New Roman" w:cs="Times New Roman"/>
          <w:sz w:val="28"/>
          <w:szCs w:val="28"/>
        </w:rPr>
        <w:t xml:space="preserve">комендуют вести более открытую </w:t>
      </w:r>
      <w:r w:rsidRPr="001A068D">
        <w:rPr>
          <w:rFonts w:ascii="Times New Roman" w:hAnsi="Times New Roman" w:cs="Times New Roman"/>
          <w:sz w:val="28"/>
          <w:szCs w:val="28"/>
        </w:rPr>
        <w:t xml:space="preserve">политику по вопросу формирования содержания и структуры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и более активно вовлекать студентов в формирование содержательной части УМК.</w:t>
      </w:r>
    </w:p>
    <w:p w14:paraId="11B2CD02" w14:textId="77777777" w:rsidR="005A1529" w:rsidRPr="001A068D" w:rsidRDefault="005A1529" w:rsidP="001A068D">
      <w:pPr>
        <w:pStyle w:val="a3"/>
        <w:tabs>
          <w:tab w:val="left" w:pos="993"/>
        </w:tabs>
        <w:spacing w:after="0" w:line="276" w:lineRule="auto"/>
        <w:ind w:left="0" w:firstLine="709"/>
        <w:jc w:val="both"/>
        <w:rPr>
          <w:rFonts w:ascii="Times New Roman" w:hAnsi="Times New Roman" w:cs="Times New Roman"/>
          <w:sz w:val="28"/>
          <w:szCs w:val="28"/>
        </w:rPr>
      </w:pPr>
    </w:p>
    <w:p w14:paraId="5D1E7CEF"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2FCFFE2E" w14:textId="220AD18A" w:rsidR="005A1529" w:rsidRPr="00130BDF" w:rsidRDefault="002A23C3" w:rsidP="00130BDF">
      <w:pPr>
        <w:pStyle w:val="a3"/>
        <w:numPr>
          <w:ilvl w:val="1"/>
          <w:numId w:val="1"/>
        </w:numPr>
        <w:tabs>
          <w:tab w:val="left" w:pos="993"/>
        </w:tabs>
        <w:spacing w:after="0" w:line="276" w:lineRule="auto"/>
        <w:ind w:hanging="356"/>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Технологии и методики образовательной деятельности</w:t>
      </w:r>
    </w:p>
    <w:p w14:paraId="7631B69D" w14:textId="43A0FEC0" w:rsidR="005A1529" w:rsidRPr="001A068D" w:rsidRDefault="00BC4B0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Экспертные отчеты за 2014 год свидетельствуют о том, что в рамках всех оцененных программ п</w:t>
      </w:r>
      <w:r w:rsidR="005A1529" w:rsidRPr="001A068D">
        <w:rPr>
          <w:rFonts w:ascii="Times New Roman" w:hAnsi="Times New Roman" w:cs="Times New Roman"/>
          <w:sz w:val="28"/>
          <w:szCs w:val="28"/>
        </w:rPr>
        <w:t>рофессорско-преподавательский состав практикует различные виды занятий</w:t>
      </w:r>
      <w:r w:rsidRPr="001A068D">
        <w:rPr>
          <w:rFonts w:ascii="Times New Roman" w:hAnsi="Times New Roman" w:cs="Times New Roman"/>
          <w:sz w:val="28"/>
          <w:szCs w:val="28"/>
        </w:rPr>
        <w:t xml:space="preserve"> и </w:t>
      </w:r>
      <w:r w:rsidR="005A1529" w:rsidRPr="001A068D">
        <w:rPr>
          <w:rFonts w:ascii="Times New Roman" w:hAnsi="Times New Roman" w:cs="Times New Roman"/>
          <w:sz w:val="28"/>
          <w:szCs w:val="28"/>
        </w:rPr>
        <w:t>применяет интерактивные формы в обучении: деловые игры, дискуссии, защит</w:t>
      </w:r>
      <w:r w:rsidRPr="001A068D">
        <w:rPr>
          <w:rFonts w:ascii="Times New Roman" w:hAnsi="Times New Roman" w:cs="Times New Roman"/>
          <w:sz w:val="28"/>
          <w:szCs w:val="28"/>
        </w:rPr>
        <w:t>ы</w:t>
      </w:r>
      <w:r w:rsidR="005A1529" w:rsidRPr="001A068D">
        <w:rPr>
          <w:rFonts w:ascii="Times New Roman" w:hAnsi="Times New Roman" w:cs="Times New Roman"/>
          <w:sz w:val="28"/>
          <w:szCs w:val="28"/>
        </w:rPr>
        <w:t xml:space="preserve"> проект</w:t>
      </w:r>
      <w:r w:rsidRPr="001A068D">
        <w:rPr>
          <w:rFonts w:ascii="Times New Roman" w:hAnsi="Times New Roman" w:cs="Times New Roman"/>
          <w:sz w:val="28"/>
          <w:szCs w:val="28"/>
        </w:rPr>
        <w:t>ов</w:t>
      </w:r>
      <w:r w:rsidR="005A1529" w:rsidRPr="001A068D">
        <w:rPr>
          <w:rFonts w:ascii="Times New Roman" w:hAnsi="Times New Roman" w:cs="Times New Roman"/>
          <w:sz w:val="28"/>
          <w:szCs w:val="28"/>
        </w:rPr>
        <w:t>, мозгов</w:t>
      </w:r>
      <w:r w:rsidRPr="001A068D">
        <w:rPr>
          <w:rFonts w:ascii="Times New Roman" w:hAnsi="Times New Roman" w:cs="Times New Roman"/>
          <w:sz w:val="28"/>
          <w:szCs w:val="28"/>
        </w:rPr>
        <w:t>ые</w:t>
      </w:r>
      <w:r w:rsidR="005A1529" w:rsidRPr="001A068D">
        <w:rPr>
          <w:rFonts w:ascii="Times New Roman" w:hAnsi="Times New Roman" w:cs="Times New Roman"/>
          <w:sz w:val="28"/>
          <w:szCs w:val="28"/>
        </w:rPr>
        <w:t xml:space="preserve"> штурм</w:t>
      </w:r>
      <w:r w:rsidRPr="001A068D">
        <w:rPr>
          <w:rFonts w:ascii="Times New Roman" w:hAnsi="Times New Roman" w:cs="Times New Roman"/>
          <w:sz w:val="28"/>
          <w:szCs w:val="28"/>
        </w:rPr>
        <w:t>ы</w:t>
      </w:r>
      <w:r w:rsidR="005A1529" w:rsidRPr="001A068D">
        <w:rPr>
          <w:rFonts w:ascii="Times New Roman" w:hAnsi="Times New Roman" w:cs="Times New Roman"/>
          <w:sz w:val="28"/>
          <w:szCs w:val="28"/>
        </w:rPr>
        <w:t xml:space="preserve"> и другие.</w:t>
      </w:r>
      <w:r w:rsidRPr="001A068D">
        <w:rPr>
          <w:rFonts w:ascii="Times New Roman" w:hAnsi="Times New Roman" w:cs="Times New Roman"/>
          <w:sz w:val="28"/>
          <w:szCs w:val="28"/>
        </w:rPr>
        <w:t xml:space="preserve"> Практикуется чтение лекций проблемного характера.</w:t>
      </w:r>
    </w:p>
    <w:p w14:paraId="1259F09B" w14:textId="5D5DE994" w:rsidR="00BC4B09" w:rsidRPr="001A068D" w:rsidRDefault="00BC4B0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Во многих образовательных организациях в рамках учебных занятий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14:paraId="76D6A94E" w14:textId="6A836A63" w:rsidR="00BC4B09" w:rsidRPr="001A068D" w:rsidRDefault="00BC4B0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Доля интерактивных методов в процессе реализации программ составляет в среднем 39% (по данным всех проанализированных экспертных отчетов). По мнению экспертов, степень использования интерактивных методов является достаточным для формирования компетенций студентов.</w:t>
      </w:r>
    </w:p>
    <w:p w14:paraId="4E9552FF" w14:textId="15075F74" w:rsidR="00BC4B09" w:rsidRPr="001A068D" w:rsidRDefault="00BC4B0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 рамках большинства проанализированных программ развиваются элементы дистанционного обучения. Многие образовательные организации включили внедрение e-learning на программном уровне в стратегию по повышению качества и доступности обучения.</w:t>
      </w:r>
    </w:p>
    <w:p w14:paraId="51EB086A" w14:textId="77777777" w:rsidR="00704BF4" w:rsidRPr="001A068D" w:rsidRDefault="0033266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При этом</w:t>
      </w:r>
      <w:r w:rsidR="00704BF4" w:rsidRPr="001A068D">
        <w:rPr>
          <w:rFonts w:ascii="Times New Roman" w:hAnsi="Times New Roman" w:cs="Times New Roman"/>
          <w:sz w:val="28"/>
          <w:szCs w:val="28"/>
        </w:rPr>
        <w:t xml:space="preserve"> на основании выводов экспертов можно утверждать, что в настоящий момент внедрение e-learning в российских образовательных организациях не завершено и в некоторых из них существует лишь  </w:t>
      </w:r>
      <w:r w:rsidRPr="001A068D">
        <w:rPr>
          <w:rFonts w:ascii="Times New Roman" w:hAnsi="Times New Roman" w:cs="Times New Roman"/>
          <w:sz w:val="28"/>
          <w:szCs w:val="28"/>
        </w:rPr>
        <w:t xml:space="preserve"> </w:t>
      </w:r>
      <w:r w:rsidR="00704BF4" w:rsidRPr="001A068D">
        <w:rPr>
          <w:rFonts w:ascii="Times New Roman" w:hAnsi="Times New Roman" w:cs="Times New Roman"/>
          <w:sz w:val="28"/>
          <w:szCs w:val="28"/>
        </w:rPr>
        <w:t xml:space="preserve">фрагментарно. </w:t>
      </w:r>
    </w:p>
    <w:p w14:paraId="2C207C16" w14:textId="5E641D87" w:rsidR="005A1529" w:rsidRPr="001A068D" w:rsidRDefault="00704BF4"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Рекомендации экспертов позволяют сделать вывод о том, что в значительной части образовательных организаций еще не закончено формирование базы специального программного обеспечения, которое позволит использовать e-learning в образовательном процессе, а также не завершено создание электронного контента всех УМК. Кроме того, в большинстве случаев требуется п</w:t>
      </w:r>
      <w:r w:rsidR="005A1529" w:rsidRPr="001A068D">
        <w:rPr>
          <w:rFonts w:ascii="Times New Roman" w:hAnsi="Times New Roman" w:cs="Times New Roman"/>
          <w:sz w:val="28"/>
          <w:szCs w:val="28"/>
        </w:rPr>
        <w:t>овысить квалификацию преподавателей в области использования дистанционных технологий.</w:t>
      </w:r>
    </w:p>
    <w:p w14:paraId="29ED9506" w14:textId="77777777" w:rsidR="00332669" w:rsidRPr="001A068D" w:rsidRDefault="00332669" w:rsidP="001A068D">
      <w:pPr>
        <w:pStyle w:val="a3"/>
        <w:tabs>
          <w:tab w:val="left" w:pos="993"/>
        </w:tabs>
        <w:spacing w:after="0" w:line="276" w:lineRule="auto"/>
        <w:ind w:left="0" w:firstLine="709"/>
        <w:jc w:val="both"/>
        <w:rPr>
          <w:rFonts w:ascii="Times New Roman" w:hAnsi="Times New Roman" w:cs="Times New Roman"/>
          <w:sz w:val="28"/>
          <w:szCs w:val="28"/>
        </w:rPr>
      </w:pPr>
    </w:p>
    <w:p w14:paraId="5AB604F5"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12F03123" w14:textId="75ABCBCA" w:rsidR="002A23C3" w:rsidRPr="00130BDF" w:rsidRDefault="005A1529"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.5.</w:t>
      </w:r>
      <w:r w:rsidR="002A23C3" w:rsidRPr="00130BDF">
        <w:rPr>
          <w:rFonts w:ascii="Times New Roman" w:hAnsi="Times New Roman" w:cs="Times New Roman"/>
          <w:b/>
          <w:sz w:val="28"/>
          <w:szCs w:val="28"/>
        </w:rPr>
        <w:tab/>
        <w:t>Профессорско-преподавательский состав</w:t>
      </w:r>
    </w:p>
    <w:p w14:paraId="4FC224F3" w14:textId="7F4F3304" w:rsidR="006F7DBB" w:rsidRPr="001A068D" w:rsidRDefault="006F7DA8"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Как показывает анализ экспертных отчетов за 2014 год, к</w:t>
      </w:r>
      <w:r w:rsidR="006F7DBB" w:rsidRPr="001A068D">
        <w:rPr>
          <w:rFonts w:ascii="Times New Roman" w:hAnsi="Times New Roman" w:cs="Times New Roman"/>
          <w:sz w:val="28"/>
          <w:szCs w:val="28"/>
        </w:rPr>
        <w:t>адровый состав</w:t>
      </w:r>
      <w:r w:rsidRPr="001A068D">
        <w:rPr>
          <w:rFonts w:ascii="Times New Roman" w:hAnsi="Times New Roman" w:cs="Times New Roman"/>
          <w:sz w:val="28"/>
          <w:szCs w:val="28"/>
        </w:rPr>
        <w:t>, р</w:t>
      </w:r>
      <w:r w:rsidR="006F7DBB" w:rsidRPr="001A068D">
        <w:rPr>
          <w:rFonts w:ascii="Times New Roman" w:hAnsi="Times New Roman" w:cs="Times New Roman"/>
          <w:sz w:val="28"/>
          <w:szCs w:val="28"/>
        </w:rPr>
        <w:t xml:space="preserve">еализующий </w:t>
      </w:r>
      <w:r w:rsidRPr="001A068D">
        <w:rPr>
          <w:rFonts w:ascii="Times New Roman" w:hAnsi="Times New Roman" w:cs="Times New Roman"/>
          <w:sz w:val="28"/>
          <w:szCs w:val="28"/>
        </w:rPr>
        <w:t xml:space="preserve">оцененные </w:t>
      </w:r>
      <w:r w:rsidR="006F7DBB" w:rsidRPr="001A068D">
        <w:rPr>
          <w:rFonts w:ascii="Times New Roman" w:hAnsi="Times New Roman" w:cs="Times New Roman"/>
          <w:sz w:val="28"/>
          <w:szCs w:val="28"/>
        </w:rPr>
        <w:t>программ</w:t>
      </w:r>
      <w:r w:rsidRPr="001A068D">
        <w:rPr>
          <w:rFonts w:ascii="Times New Roman" w:hAnsi="Times New Roman" w:cs="Times New Roman"/>
          <w:sz w:val="28"/>
          <w:szCs w:val="28"/>
        </w:rPr>
        <w:t>ы, соответствует квалификационным требованиям и</w:t>
      </w:r>
      <w:r w:rsidR="006F7DBB" w:rsidRPr="001A068D">
        <w:rPr>
          <w:rFonts w:ascii="Times New Roman" w:hAnsi="Times New Roman" w:cs="Times New Roman"/>
          <w:sz w:val="28"/>
          <w:szCs w:val="28"/>
        </w:rPr>
        <w:t xml:space="preserve"> стимулирован к профессиональному росту.</w:t>
      </w:r>
      <w:r w:rsidR="0090181C">
        <w:rPr>
          <w:rFonts w:ascii="Times New Roman" w:hAnsi="Times New Roman" w:cs="Times New Roman"/>
          <w:sz w:val="28"/>
          <w:szCs w:val="28"/>
        </w:rPr>
        <w:t xml:space="preserve"> В большинстве случаев </w:t>
      </w:r>
      <w:r w:rsidRPr="001A068D">
        <w:rPr>
          <w:rFonts w:ascii="Times New Roman" w:hAnsi="Times New Roman" w:cs="Times New Roman"/>
          <w:sz w:val="28"/>
          <w:szCs w:val="28"/>
        </w:rPr>
        <w:t>преподаватели кафедры активно участвуют в проведении НИР, результаты которых востребованы в учебном процессе. При этом по ряду программ отмечается возрастной дисбаланс ППС: велика доля преподавателей в возрасте от 56 до 70 лет, что свидетельствует о необходимости более активного привлечения молодых кадров.</w:t>
      </w:r>
    </w:p>
    <w:p w14:paraId="68D1727D" w14:textId="1C6512A5" w:rsidR="006F7DA8" w:rsidRPr="001A068D" w:rsidRDefault="006F7DA8"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 образовательных организациях проводится регулярная аттестация работников, результаты которой используются в том числе для повышения квалификации ППС. Внедрена система внутреннего мониторинга деятельности преподавателей. Однако во многих образовательных организациях эта система нуждается в доработке: в ней не учитывается (или недостаточно учитывается) мнения работодателей и студентов. В ряде случаев система мониторинга преподавателей не выявляет нехватку практикоориентированных знаний и не предполагает сравнения со знаниями и навыками реальных практиков.</w:t>
      </w:r>
    </w:p>
    <w:p w14:paraId="3F8734DA" w14:textId="6C991348" w:rsidR="0071062F" w:rsidRPr="001A068D" w:rsidRDefault="0071062F"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Доля преподавателей профильных дисциплин, имеющих текущий практический опыт по профилю зачастую весьма низка, вплоть до нулевой. Так, при оценке некоторых программ было выявлено, что</w:t>
      </w:r>
      <w:r w:rsidRPr="001A068D">
        <w:rPr>
          <w:rFonts w:ascii="Times New Roman" w:hAnsi="Times New Roman" w:cs="Times New Roman"/>
          <w:sz w:val="28"/>
          <w:szCs w:val="28"/>
          <w:shd w:val="clear" w:color="auto" w:fill="FFFFFF"/>
        </w:rPr>
        <w:t xml:space="preserve"> </w:t>
      </w:r>
      <w:r w:rsidRPr="001A068D">
        <w:rPr>
          <w:rFonts w:ascii="Times New Roman" w:hAnsi="Times New Roman" w:cs="Times New Roman"/>
          <w:sz w:val="28"/>
          <w:szCs w:val="28"/>
        </w:rPr>
        <w:t>большинство преподавателей не совмещают преподавание с практической работой и, обладая глубокими теоретическими знаниями в преподаваемых дисциплинах, слабо представляют, как решаются на практике рассматриваемые ими задачи.</w:t>
      </w:r>
    </w:p>
    <w:p w14:paraId="3956F100" w14:textId="77777777" w:rsidR="0071062F" w:rsidRPr="001A068D" w:rsidRDefault="006F7DA8"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подавляющем большинстве отчетов приводится рекомендация </w:t>
      </w:r>
      <w:r w:rsidR="0071062F" w:rsidRPr="001A068D">
        <w:rPr>
          <w:rFonts w:ascii="Times New Roman" w:hAnsi="Times New Roman" w:cs="Times New Roman"/>
          <w:sz w:val="28"/>
          <w:szCs w:val="28"/>
        </w:rPr>
        <w:t>экспертов относительно</w:t>
      </w:r>
      <w:r w:rsidR="006F7DBB" w:rsidRPr="001A068D">
        <w:rPr>
          <w:rFonts w:ascii="Times New Roman" w:hAnsi="Times New Roman" w:cs="Times New Roman"/>
          <w:sz w:val="28"/>
          <w:szCs w:val="28"/>
        </w:rPr>
        <w:t xml:space="preserve"> расширени</w:t>
      </w:r>
      <w:r w:rsidR="0071062F" w:rsidRPr="001A068D">
        <w:rPr>
          <w:rFonts w:ascii="Times New Roman" w:hAnsi="Times New Roman" w:cs="Times New Roman"/>
          <w:sz w:val="28"/>
          <w:szCs w:val="28"/>
        </w:rPr>
        <w:t>я</w:t>
      </w:r>
      <w:r w:rsidR="006F7DBB" w:rsidRPr="001A068D">
        <w:rPr>
          <w:rFonts w:ascii="Times New Roman" w:hAnsi="Times New Roman" w:cs="Times New Roman"/>
          <w:sz w:val="28"/>
          <w:szCs w:val="28"/>
        </w:rPr>
        <w:t xml:space="preserve"> и качественно</w:t>
      </w:r>
      <w:r w:rsidR="0071062F" w:rsidRPr="001A068D">
        <w:rPr>
          <w:rFonts w:ascii="Times New Roman" w:hAnsi="Times New Roman" w:cs="Times New Roman"/>
          <w:sz w:val="28"/>
          <w:szCs w:val="28"/>
        </w:rPr>
        <w:t>го</w:t>
      </w:r>
      <w:r w:rsidR="006F7DBB" w:rsidRPr="001A068D">
        <w:rPr>
          <w:rFonts w:ascii="Times New Roman" w:hAnsi="Times New Roman" w:cs="Times New Roman"/>
          <w:sz w:val="28"/>
          <w:szCs w:val="28"/>
        </w:rPr>
        <w:t xml:space="preserve"> усилени</w:t>
      </w:r>
      <w:r w:rsidR="0071062F" w:rsidRPr="001A068D">
        <w:rPr>
          <w:rFonts w:ascii="Times New Roman" w:hAnsi="Times New Roman" w:cs="Times New Roman"/>
          <w:sz w:val="28"/>
          <w:szCs w:val="28"/>
        </w:rPr>
        <w:t>я</w:t>
      </w:r>
      <w:r w:rsidR="006F7DBB" w:rsidRPr="001A068D">
        <w:rPr>
          <w:rFonts w:ascii="Times New Roman" w:hAnsi="Times New Roman" w:cs="Times New Roman"/>
          <w:sz w:val="28"/>
          <w:szCs w:val="28"/>
        </w:rPr>
        <w:t xml:space="preserve"> участия работодателей</w:t>
      </w:r>
      <w:r w:rsidR="0071062F" w:rsidRPr="001A068D">
        <w:rPr>
          <w:rFonts w:ascii="Times New Roman" w:hAnsi="Times New Roman" w:cs="Times New Roman"/>
          <w:sz w:val="28"/>
          <w:szCs w:val="28"/>
        </w:rPr>
        <w:t xml:space="preserve"> как в системе мониторинга деятельности преподавателей, так и непосредственно в реализации программы: предлагается расширить состав преподавателей из числа действующих представителей профессионального сообщества.</w:t>
      </w:r>
    </w:p>
    <w:p w14:paraId="58E552CE" w14:textId="77777777" w:rsidR="0071062F" w:rsidRPr="001A068D" w:rsidRDefault="0071062F" w:rsidP="001A068D">
      <w:pPr>
        <w:pStyle w:val="a3"/>
        <w:tabs>
          <w:tab w:val="left" w:pos="993"/>
        </w:tabs>
        <w:spacing w:after="0" w:line="276" w:lineRule="auto"/>
        <w:ind w:left="0" w:firstLine="709"/>
        <w:jc w:val="both"/>
        <w:rPr>
          <w:rFonts w:ascii="Times New Roman" w:hAnsi="Times New Roman" w:cs="Times New Roman"/>
          <w:sz w:val="28"/>
          <w:szCs w:val="28"/>
        </w:rPr>
      </w:pPr>
    </w:p>
    <w:p w14:paraId="716AF619"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65964B0B" w14:textId="753EB684" w:rsidR="0071062F" w:rsidRPr="001A068D" w:rsidRDefault="008676A8" w:rsidP="001A068D">
      <w:pPr>
        <w:pStyle w:val="a3"/>
        <w:tabs>
          <w:tab w:val="left" w:pos="993"/>
        </w:tabs>
        <w:spacing w:after="0" w:line="276" w:lineRule="auto"/>
        <w:ind w:left="0" w:firstLine="709"/>
        <w:jc w:val="both"/>
        <w:rPr>
          <w:rFonts w:ascii="Times New Roman" w:hAnsi="Times New Roman" w:cs="Times New Roman"/>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.6.</w:t>
      </w:r>
      <w:r w:rsidR="002A23C3" w:rsidRPr="00130BDF">
        <w:rPr>
          <w:rFonts w:ascii="Times New Roman" w:hAnsi="Times New Roman" w:cs="Times New Roman"/>
          <w:b/>
          <w:sz w:val="28"/>
          <w:szCs w:val="28"/>
        </w:rPr>
        <w:tab/>
        <w:t>Материально-технические и финансовые ресурсы программы</w:t>
      </w:r>
      <w:r w:rsidR="002A23C3" w:rsidRPr="00130BDF">
        <w:rPr>
          <w:rFonts w:ascii="Times New Roman" w:hAnsi="Times New Roman" w:cs="Times New Roman"/>
          <w:b/>
          <w:sz w:val="28"/>
          <w:szCs w:val="28"/>
        </w:rPr>
        <w:tab/>
      </w:r>
      <w:r w:rsidR="00BA7F73" w:rsidRPr="001A068D">
        <w:rPr>
          <w:rFonts w:ascii="Times New Roman" w:hAnsi="Times New Roman" w:cs="Times New Roman"/>
          <w:sz w:val="28"/>
          <w:szCs w:val="28"/>
        </w:rPr>
        <w:t xml:space="preserve">Результаты опросов студентов и </w:t>
      </w:r>
      <w:r w:rsidR="0071062F" w:rsidRPr="001A068D">
        <w:rPr>
          <w:rFonts w:ascii="Times New Roman" w:hAnsi="Times New Roman" w:cs="Times New Roman"/>
          <w:sz w:val="28"/>
          <w:szCs w:val="28"/>
        </w:rPr>
        <w:t>профессорско-преподавательского состава</w:t>
      </w:r>
      <w:r w:rsidR="00BA7F73" w:rsidRPr="001A068D">
        <w:rPr>
          <w:rFonts w:ascii="Times New Roman" w:hAnsi="Times New Roman" w:cs="Times New Roman"/>
          <w:sz w:val="28"/>
          <w:szCs w:val="28"/>
        </w:rPr>
        <w:t>, проведенные в рамках независимой оценки и профессиональн</w:t>
      </w:r>
      <w:r w:rsidR="00CB3406" w:rsidRPr="001A068D">
        <w:rPr>
          <w:rFonts w:ascii="Times New Roman" w:hAnsi="Times New Roman" w:cs="Times New Roman"/>
          <w:sz w:val="28"/>
          <w:szCs w:val="28"/>
        </w:rPr>
        <w:t>о</w:t>
      </w:r>
      <w:r w:rsidR="00BA7F73" w:rsidRPr="001A068D">
        <w:rPr>
          <w:rFonts w:ascii="Times New Roman" w:hAnsi="Times New Roman" w:cs="Times New Roman"/>
          <w:sz w:val="28"/>
          <w:szCs w:val="28"/>
        </w:rPr>
        <w:t xml:space="preserve">-общественной аккредитации образовательных программ в 2014 году, свидетельствуют об общем высоком уровне удовлетворенности </w:t>
      </w:r>
      <w:r w:rsidR="0071062F" w:rsidRPr="001A068D">
        <w:rPr>
          <w:rFonts w:ascii="Times New Roman" w:hAnsi="Times New Roman" w:cs="Times New Roman"/>
          <w:sz w:val="28"/>
          <w:szCs w:val="28"/>
        </w:rPr>
        <w:t>качеством аудиторий, помещений кафедр, библиотекой и др</w:t>
      </w:r>
      <w:r w:rsidR="00CB3406" w:rsidRPr="001A068D">
        <w:rPr>
          <w:rFonts w:ascii="Times New Roman" w:hAnsi="Times New Roman" w:cs="Times New Roman"/>
          <w:sz w:val="28"/>
          <w:szCs w:val="28"/>
        </w:rPr>
        <w:t xml:space="preserve">угими материально-техническими ресурсами оцененных </w:t>
      </w:r>
      <w:r w:rsidR="006170B3">
        <w:rPr>
          <w:rFonts w:ascii="Times New Roman" w:hAnsi="Times New Roman" w:cs="Times New Roman"/>
          <w:sz w:val="28"/>
          <w:szCs w:val="28"/>
        </w:rPr>
        <w:t>ОП</w:t>
      </w:r>
      <w:r w:rsidR="00CB3406" w:rsidRPr="001A068D">
        <w:rPr>
          <w:rFonts w:ascii="Times New Roman" w:hAnsi="Times New Roman" w:cs="Times New Roman"/>
          <w:sz w:val="28"/>
          <w:szCs w:val="28"/>
        </w:rPr>
        <w:t>. Абсолютное большинство экспертов сделало</w:t>
      </w:r>
      <w:r w:rsidR="00246ECA" w:rsidRPr="001A068D">
        <w:rPr>
          <w:rFonts w:ascii="Times New Roman" w:hAnsi="Times New Roman" w:cs="Times New Roman"/>
          <w:sz w:val="28"/>
          <w:szCs w:val="28"/>
        </w:rPr>
        <w:t xml:space="preserve"> </w:t>
      </w:r>
      <w:r w:rsidR="00CB3406" w:rsidRPr="001A068D">
        <w:rPr>
          <w:rFonts w:ascii="Times New Roman" w:hAnsi="Times New Roman" w:cs="Times New Roman"/>
          <w:sz w:val="28"/>
          <w:szCs w:val="28"/>
        </w:rPr>
        <w:t>вывод о том, что ф</w:t>
      </w:r>
      <w:r w:rsidR="00246ECA" w:rsidRPr="001A068D">
        <w:rPr>
          <w:rFonts w:ascii="Times New Roman" w:hAnsi="Times New Roman" w:cs="Times New Roman"/>
          <w:sz w:val="28"/>
          <w:szCs w:val="28"/>
        </w:rPr>
        <w:t>инансовые и материально-технические ресурсы, формируемые для реализации образовательной программы, позволяют обеспечить в полной мере ее качественную реализацию.</w:t>
      </w:r>
    </w:p>
    <w:p w14:paraId="3E529869" w14:textId="089EC194" w:rsidR="00CB3406" w:rsidRPr="001A068D" w:rsidRDefault="00CB340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При этом в большинстве случаев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не имеют собственного бюджета, а их финансирование проводится в рамках общего бюджета вуза. Следовательно, руководство программы весьма ограничено в возможностях влияния на финансовые решения. В связи с этим в ряд экспертных отчетов включена рекомендация рассмотреть возможность формирования отдельного бюджета программы и предоставления больших полномочий руководителям программы по управлению бюджетом.</w:t>
      </w:r>
    </w:p>
    <w:p w14:paraId="726A5FE8" w14:textId="1BB457E3" w:rsidR="007476FD" w:rsidRPr="001A068D" w:rsidRDefault="00CB340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Также большинство экспертов отмечают, что работодатели-партнеры не принимают участия в формировании материально-технических ре</w:t>
      </w:r>
      <w:r w:rsidR="006B3411">
        <w:rPr>
          <w:rFonts w:ascii="Times New Roman" w:hAnsi="Times New Roman" w:cs="Times New Roman"/>
          <w:sz w:val="28"/>
          <w:szCs w:val="28"/>
        </w:rPr>
        <w:t>сурсов программы. По их мнению,</w:t>
      </w:r>
      <w:r w:rsidRPr="001A068D">
        <w:rPr>
          <w:rFonts w:ascii="Times New Roman" w:hAnsi="Times New Roman" w:cs="Times New Roman"/>
          <w:sz w:val="28"/>
          <w:szCs w:val="28"/>
        </w:rPr>
        <w:t xml:space="preserve"> для повышения эффективности обучения стоит привлекать спонсоров для технологического оснащения помещений, в том числе для установки видеопроекционного оборудования, подключения Wi-Fi, развития электронной базы библиотек и т.д.</w:t>
      </w:r>
    </w:p>
    <w:p w14:paraId="519AED65" w14:textId="77777777" w:rsidR="007476FD" w:rsidRPr="001A068D" w:rsidRDefault="007476FD" w:rsidP="001A068D">
      <w:pPr>
        <w:pStyle w:val="a3"/>
        <w:tabs>
          <w:tab w:val="left" w:pos="993"/>
        </w:tabs>
        <w:spacing w:after="0" w:line="276" w:lineRule="auto"/>
        <w:ind w:left="0" w:firstLine="709"/>
        <w:jc w:val="both"/>
        <w:rPr>
          <w:rFonts w:ascii="Times New Roman" w:hAnsi="Times New Roman" w:cs="Times New Roman"/>
          <w:sz w:val="28"/>
          <w:szCs w:val="28"/>
        </w:rPr>
      </w:pPr>
    </w:p>
    <w:p w14:paraId="79AA9C13"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2FD549AF" w14:textId="2F70138C" w:rsidR="00010C63" w:rsidRPr="00130BDF"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.7.</w:t>
      </w:r>
      <w:r w:rsidR="002A23C3" w:rsidRPr="00130BDF">
        <w:rPr>
          <w:rFonts w:ascii="Times New Roman" w:hAnsi="Times New Roman" w:cs="Times New Roman"/>
          <w:b/>
          <w:sz w:val="28"/>
          <w:szCs w:val="28"/>
        </w:rPr>
        <w:tab/>
        <w:t>Информационные ресурсы программы</w:t>
      </w:r>
    </w:p>
    <w:p w14:paraId="64514C04" w14:textId="1E894855" w:rsidR="00010C63" w:rsidRPr="001A068D" w:rsidRDefault="00010C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О</w:t>
      </w:r>
      <w:r w:rsidR="007476FD" w:rsidRPr="001A068D">
        <w:rPr>
          <w:rFonts w:ascii="Times New Roman" w:hAnsi="Times New Roman" w:cs="Times New Roman"/>
          <w:sz w:val="28"/>
          <w:szCs w:val="28"/>
        </w:rPr>
        <w:t>бучающи</w:t>
      </w:r>
      <w:r w:rsidRPr="001A068D">
        <w:rPr>
          <w:rFonts w:ascii="Times New Roman" w:hAnsi="Times New Roman" w:cs="Times New Roman"/>
          <w:sz w:val="28"/>
          <w:szCs w:val="28"/>
        </w:rPr>
        <w:t xml:space="preserve">еся всех оцененных </w:t>
      </w:r>
      <w:r w:rsidR="006170B3">
        <w:rPr>
          <w:rFonts w:ascii="Times New Roman" w:hAnsi="Times New Roman" w:cs="Times New Roman"/>
          <w:sz w:val="28"/>
          <w:szCs w:val="28"/>
        </w:rPr>
        <w:t>ОП</w:t>
      </w:r>
      <w:r w:rsidR="007476FD" w:rsidRPr="001A068D">
        <w:rPr>
          <w:rFonts w:ascii="Times New Roman" w:hAnsi="Times New Roman" w:cs="Times New Roman"/>
          <w:sz w:val="28"/>
          <w:szCs w:val="28"/>
        </w:rPr>
        <w:t xml:space="preserve"> обеспечен</w:t>
      </w:r>
      <w:r w:rsidRPr="001A068D">
        <w:rPr>
          <w:rFonts w:ascii="Times New Roman" w:hAnsi="Times New Roman" w:cs="Times New Roman"/>
          <w:sz w:val="28"/>
          <w:szCs w:val="28"/>
        </w:rPr>
        <w:t>ы</w:t>
      </w:r>
      <w:r w:rsidR="007476FD" w:rsidRPr="001A068D">
        <w:rPr>
          <w:rFonts w:ascii="Times New Roman" w:hAnsi="Times New Roman" w:cs="Times New Roman"/>
          <w:sz w:val="28"/>
          <w:szCs w:val="28"/>
        </w:rPr>
        <w:t xml:space="preserve">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r w:rsidRPr="001A068D">
        <w:rPr>
          <w:rFonts w:ascii="Times New Roman" w:hAnsi="Times New Roman" w:cs="Times New Roman"/>
          <w:sz w:val="28"/>
          <w:szCs w:val="28"/>
        </w:rPr>
        <w:t>Помимо этого, для хранения образовательного контента и предоставления его обучающимся в образовательных организациях внедряются системы поддержки дистанционного обучения (часто на базе системы управления обучением Moodle). Однако в большинстве случаев процесс внедрения такой системы не завершен. В некоторых случаях информационная инфраструктура создана, однако</w:t>
      </w:r>
      <w:r w:rsidR="006B3411">
        <w:rPr>
          <w:rFonts w:ascii="Times New Roman" w:hAnsi="Times New Roman" w:cs="Times New Roman"/>
          <w:sz w:val="28"/>
          <w:szCs w:val="28"/>
        </w:rPr>
        <w:t xml:space="preserve"> ее возможности</w:t>
      </w:r>
      <w:r w:rsidRPr="001A068D">
        <w:rPr>
          <w:rFonts w:ascii="Times New Roman" w:hAnsi="Times New Roman" w:cs="Times New Roman"/>
          <w:sz w:val="28"/>
          <w:szCs w:val="28"/>
        </w:rPr>
        <w:t xml:space="preserve"> не используются в полной мере. </w:t>
      </w:r>
    </w:p>
    <w:p w14:paraId="1AB6E0F3" w14:textId="77777777" w:rsidR="00010C63" w:rsidRPr="001A068D" w:rsidRDefault="00010C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 связи с этим в значительной части экспертных отчетов за 2014 год рекомендуется завершить внедрение e-learning системы в образовательный процесс, что позволит интенсифицировать процесс обучения по программе, даст возможность студентам гибко формировать и контролировать свою траекторию освоения дисциплин, получать необходимые on-line консультации. Преподавателям и административному сектору завершение перехода на e-learning систему обучения позволит обеспечить прозрачность образовательного процесса как с точки зрения контроля содержания дисциплин, графика их проведения, так и с точки зрения контроля освоения дисциплин студентами.</w:t>
      </w:r>
    </w:p>
    <w:p w14:paraId="65395048" w14:textId="77777777" w:rsidR="00010C63" w:rsidRPr="001A068D" w:rsidRDefault="00010C63" w:rsidP="001A068D">
      <w:pPr>
        <w:pStyle w:val="a3"/>
        <w:tabs>
          <w:tab w:val="left" w:pos="993"/>
        </w:tabs>
        <w:spacing w:after="0" w:line="276" w:lineRule="auto"/>
        <w:ind w:left="0" w:firstLine="709"/>
        <w:jc w:val="both"/>
        <w:rPr>
          <w:rFonts w:ascii="Times New Roman" w:hAnsi="Times New Roman" w:cs="Times New Roman"/>
          <w:sz w:val="28"/>
          <w:szCs w:val="28"/>
        </w:rPr>
      </w:pPr>
    </w:p>
    <w:p w14:paraId="2AEF858F"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1394CF35" w14:textId="21328A47" w:rsidR="002A23C3" w:rsidRPr="00130BDF"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.8.</w:t>
      </w:r>
      <w:r w:rsidR="002A23C3" w:rsidRPr="00130BDF">
        <w:rPr>
          <w:rFonts w:ascii="Times New Roman" w:hAnsi="Times New Roman" w:cs="Times New Roman"/>
          <w:b/>
          <w:sz w:val="28"/>
          <w:szCs w:val="28"/>
        </w:rPr>
        <w:tab/>
        <w:t>Научно-исследовательская деятельность</w:t>
      </w:r>
    </w:p>
    <w:p w14:paraId="7F70DFD2" w14:textId="77777777"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По данным всех проанализированных отчетов научно-исследовательская деятельность ППС оцененных программ соответствует профилю подготовки специалистов и основывается на фундаментальных и прикладных научных исследованиях. Р</w:t>
      </w:r>
      <w:r w:rsidR="0013625A" w:rsidRPr="001A068D">
        <w:rPr>
          <w:rFonts w:ascii="Times New Roman" w:hAnsi="Times New Roman" w:cs="Times New Roman"/>
          <w:sz w:val="28"/>
          <w:szCs w:val="28"/>
        </w:rPr>
        <w:t xml:space="preserve">езультаты научно-исследовательских работ направлены на развитие приоритетных для факультета и </w:t>
      </w:r>
      <w:r w:rsidRPr="001A068D">
        <w:rPr>
          <w:rFonts w:ascii="Times New Roman" w:hAnsi="Times New Roman" w:cs="Times New Roman"/>
          <w:sz w:val="28"/>
          <w:szCs w:val="28"/>
        </w:rPr>
        <w:t>образовательной организации</w:t>
      </w:r>
      <w:r w:rsidR="0013625A" w:rsidRPr="001A068D">
        <w:rPr>
          <w:rFonts w:ascii="Times New Roman" w:hAnsi="Times New Roman" w:cs="Times New Roman"/>
          <w:sz w:val="28"/>
          <w:szCs w:val="28"/>
        </w:rPr>
        <w:t xml:space="preserve"> в целом</w:t>
      </w:r>
      <w:r w:rsidRPr="001A068D">
        <w:rPr>
          <w:rFonts w:ascii="Times New Roman" w:hAnsi="Times New Roman" w:cs="Times New Roman"/>
          <w:sz w:val="28"/>
          <w:szCs w:val="28"/>
        </w:rPr>
        <w:t xml:space="preserve">. </w:t>
      </w:r>
    </w:p>
    <w:p w14:paraId="739669ED" w14:textId="4F7CF911"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На основе результатов опросов на тему «Как влияет НИР на качество образования», проведенных среди студентов, можно сделать вывод о том, что в среднем  78,6% студентов считают, что благодаря НИР качество их образования улучшается. </w:t>
      </w:r>
    </w:p>
    <w:p w14:paraId="7C55F814" w14:textId="77777777"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Экспертами проводилось еще одно исследование, направленное на выявление доли студентов, участвующих в работе научных кружков. По его результатам в среднем (по данным проанализированных отчетов за 2014 год) 62,5% студентов не участвуют в работе ни одного научного кружка. </w:t>
      </w:r>
      <w:r w:rsidR="0065436D" w:rsidRPr="001A068D">
        <w:rPr>
          <w:rFonts w:ascii="Times New Roman" w:hAnsi="Times New Roman" w:cs="Times New Roman"/>
          <w:sz w:val="28"/>
          <w:szCs w:val="28"/>
        </w:rPr>
        <w:t>Представленные данные говорят о том, что студенты не</w:t>
      </w:r>
      <w:r w:rsidRPr="001A068D">
        <w:rPr>
          <w:rFonts w:ascii="Times New Roman" w:hAnsi="Times New Roman" w:cs="Times New Roman"/>
          <w:sz w:val="28"/>
          <w:szCs w:val="28"/>
        </w:rPr>
        <w:t>достаточно</w:t>
      </w:r>
      <w:r w:rsidR="0065436D" w:rsidRPr="001A068D">
        <w:rPr>
          <w:rFonts w:ascii="Times New Roman" w:hAnsi="Times New Roman" w:cs="Times New Roman"/>
          <w:sz w:val="28"/>
          <w:szCs w:val="28"/>
        </w:rPr>
        <w:t xml:space="preserve"> активно вовлечены в научную деятельность.</w:t>
      </w:r>
    </w:p>
    <w:p w14:paraId="4688B05F" w14:textId="4B0CA45D"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Доля успешно коммерциализированных результатов НИР обучающихся, включая создание ими собственного бизнеса, относительно мала (от 0 до 10%). Что касается выполнения студентами научно-исследовательских работ по заявкам работодателей, этот показатель также невысок (некоторые </w:t>
      </w:r>
      <w:r w:rsidR="00CD7081" w:rsidRPr="001A068D">
        <w:rPr>
          <w:rFonts w:ascii="Times New Roman" w:hAnsi="Times New Roman" w:cs="Times New Roman"/>
          <w:sz w:val="28"/>
          <w:szCs w:val="28"/>
        </w:rPr>
        <w:t>эксперты говорят о единичных случаях, некоторые указывают дол</w:t>
      </w:r>
      <w:r w:rsidR="00C17710" w:rsidRPr="001A068D">
        <w:rPr>
          <w:rFonts w:ascii="Times New Roman" w:hAnsi="Times New Roman" w:cs="Times New Roman"/>
          <w:sz w:val="28"/>
          <w:szCs w:val="28"/>
        </w:rPr>
        <w:t>ю</w:t>
      </w:r>
      <w:r w:rsidR="00CD7081" w:rsidRPr="001A068D">
        <w:rPr>
          <w:rFonts w:ascii="Times New Roman" w:hAnsi="Times New Roman" w:cs="Times New Roman"/>
          <w:sz w:val="28"/>
          <w:szCs w:val="28"/>
        </w:rPr>
        <w:t xml:space="preserve"> на уровне 10%).</w:t>
      </w:r>
    </w:p>
    <w:p w14:paraId="55651332" w14:textId="74608ABB" w:rsidR="00CD7081" w:rsidRPr="001A068D" w:rsidRDefault="00CD7081"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связи с этим во многих отчетах эксперты рекомендуют увеличить долю студентов, занимающихся в научных кружках, что будет способствовать их более активному участию в научно-исследовательской деятельности кафедры; </w:t>
      </w:r>
    </w:p>
    <w:p w14:paraId="048BA168" w14:textId="77777777" w:rsidR="00CD7081" w:rsidRPr="001A068D" w:rsidRDefault="00CD7081"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организовать работу по финансированию внутренних грантов, результаты которых могли бы быть востребованы образовательным учреждением или другими организациями, организовать работу по коммерциализации результатов НИР, создавать условия для материального стимулирования контрактно-грантовой деятельности ППС и студентов, использования результатов НИР на общероссийском и международном уровне.</w:t>
      </w:r>
    </w:p>
    <w:p w14:paraId="6D5887A8" w14:textId="77777777" w:rsidR="00CD7081" w:rsidRPr="001A068D" w:rsidRDefault="00CD7081" w:rsidP="001A068D">
      <w:pPr>
        <w:pStyle w:val="a3"/>
        <w:tabs>
          <w:tab w:val="left" w:pos="993"/>
        </w:tabs>
        <w:spacing w:after="0" w:line="276" w:lineRule="auto"/>
        <w:ind w:left="0" w:firstLine="709"/>
        <w:jc w:val="both"/>
        <w:rPr>
          <w:rFonts w:ascii="Times New Roman" w:hAnsi="Times New Roman" w:cs="Times New Roman"/>
          <w:sz w:val="28"/>
          <w:szCs w:val="28"/>
        </w:rPr>
      </w:pPr>
    </w:p>
    <w:p w14:paraId="50F98B1E"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4EDDEC1C" w14:textId="41E38887" w:rsidR="002A23C3" w:rsidRPr="00130BDF"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.9.</w:t>
      </w:r>
      <w:r w:rsidR="002A23C3" w:rsidRPr="00130BDF">
        <w:rPr>
          <w:rFonts w:ascii="Times New Roman" w:hAnsi="Times New Roman" w:cs="Times New Roman"/>
          <w:b/>
          <w:sz w:val="28"/>
          <w:szCs w:val="28"/>
        </w:rPr>
        <w:tab/>
        <w:t>Участие работодателей в реализации программы</w:t>
      </w:r>
    </w:p>
    <w:p w14:paraId="6B926DFC" w14:textId="48CF4B5D" w:rsidR="008A0CA9" w:rsidRPr="001A068D" w:rsidRDefault="00A2031D" w:rsidP="001A068D">
      <w:pPr>
        <w:tabs>
          <w:tab w:val="left" w:pos="993"/>
        </w:tabs>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Как показывают экспертные отчеты, руководству значительно части оцененных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удалось выстроить разностороннее систематическое взаимодействие с работодателями. Работодателей привлекают к формированию матрицы компетенций, к участию в коллегиальных органах управления на разных уровнях (Ученый Совет ОУ, заседания кафедры), к оценке выпускных квалификационных работ.</w:t>
      </w:r>
      <w:r w:rsidR="008A0CA9" w:rsidRPr="001A068D">
        <w:rPr>
          <w:rFonts w:ascii="Times New Roman" w:hAnsi="Times New Roman" w:cs="Times New Roman"/>
          <w:sz w:val="28"/>
          <w:szCs w:val="28"/>
        </w:rPr>
        <w:t xml:space="preserve"> В ряде случаев работодатели участвуют в разработке и утверждении тематики магистерских работ, осуществляют руководство практикой студентов, руководство и рецензирование выпускных квалификационных работ. При этом чаще всего эксперты рекомендовали продумать и внедрить в практику систему поощрений работодателей, участвующих в реализации программы, </w:t>
      </w:r>
      <w:r w:rsidR="008676A8" w:rsidRPr="001A068D">
        <w:rPr>
          <w:rFonts w:ascii="Times New Roman" w:hAnsi="Times New Roman" w:cs="Times New Roman"/>
          <w:sz w:val="28"/>
          <w:szCs w:val="28"/>
        </w:rPr>
        <w:t xml:space="preserve">увеличить количество мастер-классов и тренингов, проводимых представителями работодателей, </w:t>
      </w:r>
      <w:r w:rsidR="008A0CA9" w:rsidRPr="001A068D">
        <w:rPr>
          <w:rFonts w:ascii="Times New Roman" w:hAnsi="Times New Roman" w:cs="Times New Roman"/>
          <w:sz w:val="28"/>
          <w:szCs w:val="28"/>
        </w:rPr>
        <w:t>активизировать привлечение работодателей к разработке и актуализации содержания программ дисциплин, УММ, КИМ, программ производственной практики, тематики ВКР</w:t>
      </w:r>
      <w:r w:rsidR="008676A8" w:rsidRPr="001A068D">
        <w:rPr>
          <w:rFonts w:ascii="Times New Roman" w:hAnsi="Times New Roman" w:cs="Times New Roman"/>
          <w:sz w:val="28"/>
          <w:szCs w:val="28"/>
        </w:rPr>
        <w:t>, активизировать заключение договоров о целевой подготовке.</w:t>
      </w:r>
      <w:r w:rsidR="008A0CA9" w:rsidRPr="001A068D">
        <w:rPr>
          <w:rFonts w:ascii="Times New Roman" w:hAnsi="Times New Roman" w:cs="Times New Roman"/>
          <w:sz w:val="28"/>
          <w:szCs w:val="28"/>
        </w:rPr>
        <w:t xml:space="preserve"> </w:t>
      </w:r>
      <w:r w:rsidR="008676A8" w:rsidRPr="001A068D">
        <w:rPr>
          <w:rFonts w:ascii="Times New Roman" w:hAnsi="Times New Roman" w:cs="Times New Roman"/>
          <w:sz w:val="28"/>
          <w:szCs w:val="28"/>
        </w:rPr>
        <w:t>Также эксперты во многих случаях рекомендуют р</w:t>
      </w:r>
      <w:r w:rsidR="008A0CA9" w:rsidRPr="001A068D">
        <w:rPr>
          <w:rFonts w:ascii="Times New Roman" w:hAnsi="Times New Roman" w:cs="Times New Roman"/>
          <w:sz w:val="28"/>
          <w:szCs w:val="28"/>
        </w:rPr>
        <w:t>ассмотреть возможности спонсорской помощи со стороны работодателей.</w:t>
      </w:r>
    </w:p>
    <w:p w14:paraId="2C172D97" w14:textId="196921B2" w:rsidR="008676A8" w:rsidRPr="001A068D" w:rsidRDefault="00C17710"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рамках оценки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по данному критерию эксперты проводили анкетирование работодателей на предмет их удовлетворенности качеством подготовки выпускников. По результатам опроса в среднем (по проанализированным экспертным отчетам за 2014 г.) полностью удовлетворены качеством подготовки выпускников 61% работодателей. Формулируя свои замечания, работодатели отметили необходимость развивать способность составлять и представлять проекты научно-исследовательских и аналитических разработок, способность к самостоятельным действиям в условиях неопределенности, адаптации к новым условиям, готовность работать с большими объемами информации и нестандартное мышление. Кроме того, часто замечания по вопросу подготовки выпускников были обоснованы недостатком практических умений или отсутствием мотивации к работе.</w:t>
      </w:r>
    </w:p>
    <w:p w14:paraId="22F780DB" w14:textId="77777777" w:rsidR="008676A8" w:rsidRPr="001A068D" w:rsidRDefault="008676A8" w:rsidP="001A068D">
      <w:pPr>
        <w:pStyle w:val="a3"/>
        <w:tabs>
          <w:tab w:val="left" w:pos="993"/>
        </w:tabs>
        <w:spacing w:after="0" w:line="276" w:lineRule="auto"/>
        <w:ind w:left="0" w:firstLine="709"/>
        <w:jc w:val="both"/>
        <w:rPr>
          <w:rFonts w:ascii="Times New Roman" w:hAnsi="Times New Roman" w:cs="Times New Roman"/>
          <w:sz w:val="28"/>
          <w:szCs w:val="28"/>
        </w:rPr>
      </w:pPr>
    </w:p>
    <w:p w14:paraId="09CB0B8C"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32B7CF6E" w14:textId="73F3B024" w:rsidR="002A23C3" w:rsidRPr="00130BDF"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.10.</w:t>
      </w:r>
      <w:r w:rsidR="002A23C3" w:rsidRPr="00130BDF">
        <w:rPr>
          <w:rFonts w:ascii="Times New Roman" w:hAnsi="Times New Roman" w:cs="Times New Roman"/>
          <w:b/>
          <w:sz w:val="28"/>
          <w:szCs w:val="28"/>
        </w:rPr>
        <w:tab/>
        <w:t xml:space="preserve">Участие </w:t>
      </w:r>
      <w:r w:rsidR="00EC7594">
        <w:rPr>
          <w:rFonts w:ascii="Times New Roman" w:hAnsi="Times New Roman" w:cs="Times New Roman"/>
          <w:b/>
          <w:sz w:val="28"/>
          <w:szCs w:val="28"/>
        </w:rPr>
        <w:t>с</w:t>
      </w:r>
      <w:r w:rsidR="002A23C3" w:rsidRPr="00130BDF">
        <w:rPr>
          <w:rFonts w:ascii="Times New Roman" w:hAnsi="Times New Roman" w:cs="Times New Roman"/>
          <w:b/>
          <w:sz w:val="28"/>
          <w:szCs w:val="28"/>
        </w:rPr>
        <w:t>тудентов в определении содержания программ</w:t>
      </w:r>
      <w:r w:rsidRPr="00130BDF">
        <w:rPr>
          <w:rFonts w:ascii="Times New Roman" w:hAnsi="Times New Roman" w:cs="Times New Roman"/>
          <w:b/>
          <w:sz w:val="28"/>
          <w:szCs w:val="28"/>
        </w:rPr>
        <w:t>ы</w:t>
      </w:r>
    </w:p>
    <w:p w14:paraId="2499E894" w14:textId="3EE04117" w:rsidR="00436043" w:rsidRPr="001A068D" w:rsidRDefault="0043604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соответствии с данными экспертных отчетов в абсолютном большинстве образовательных организаций созданы органы студенческого самоуправления. Студенты, принимающие участие в работе этих органов, могут тем или иным образом оказывать влияние на принятие решений по организации и управлению учебным процессом. Помимо этого, в большинстве проанализированных экспертных отчетов отмечено, что среди студентов проводится регулярное анкетирование с целью выявления их мнения об образовательных ресурсах университета, факультета, кафедры. </w:t>
      </w:r>
    </w:p>
    <w:p w14:paraId="63731223" w14:textId="2AFD601E" w:rsidR="00436043" w:rsidRPr="001A068D" w:rsidRDefault="0043604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По результатам опроса, проведенного экспертами, в среднем 57% студентов подтвердили свою уверенность в том, что они действительно могут оказывать влияние на управление учебным процессом. </w:t>
      </w:r>
    </w:p>
    <w:p w14:paraId="6DEDD8C8" w14:textId="2C5A1722" w:rsidR="00436043" w:rsidRPr="001A068D" w:rsidRDefault="0043604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На основании анализа представленных данных эксперты сделали вывод о том, что значительная часть студентов не информирована в полном объеме о возможностях участия в решении вопросов, связанных с организацией и управлением учебным процессом. Кроме того, в части отчетов отмечается, что обучающиеся не имеют достаточной мотивации для активного участия в такой работе, в частности в формировании содержания программы.</w:t>
      </w:r>
      <w:r w:rsidR="00B2554C" w:rsidRPr="001A068D">
        <w:rPr>
          <w:rFonts w:ascii="Times New Roman" w:hAnsi="Times New Roman" w:cs="Times New Roman"/>
          <w:sz w:val="28"/>
          <w:szCs w:val="28"/>
        </w:rPr>
        <w:t xml:space="preserve"> Это частично связано с тем, что в некоторых образовательных организациях поощрение студентов за участие в управлении содержанием программы носит несистемный характер.</w:t>
      </w:r>
    </w:p>
    <w:p w14:paraId="67DBCF15" w14:textId="003D431E" w:rsidR="00B2554C" w:rsidRPr="001A068D" w:rsidRDefault="00B2554C"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На основании полученных данных эксперты рекомендуют разработать систему мер поощрения за активное участие студентов в управлении </w:t>
      </w:r>
      <w:r w:rsidR="006170B3">
        <w:rPr>
          <w:rFonts w:ascii="Times New Roman" w:hAnsi="Times New Roman" w:cs="Times New Roman"/>
          <w:sz w:val="28"/>
          <w:szCs w:val="28"/>
        </w:rPr>
        <w:t>ОП</w:t>
      </w:r>
      <w:r w:rsidRPr="001A068D">
        <w:rPr>
          <w:rFonts w:ascii="Times New Roman" w:hAnsi="Times New Roman" w:cs="Times New Roman"/>
          <w:sz w:val="28"/>
          <w:szCs w:val="28"/>
        </w:rPr>
        <w:t>, более активно привлекать студентов к участию в управлении программой, как через органы самоуправления, так и через налаживание активной обратной связи через личный кабинет студента, а также доводить до сведения студентов в полном объеме информацию о возможностях участия в управлении учебным процессом и о существующих мерах поощрения.</w:t>
      </w:r>
    </w:p>
    <w:p w14:paraId="19A038AD" w14:textId="77777777" w:rsidR="00B2554C" w:rsidRPr="001A068D" w:rsidRDefault="00B2554C" w:rsidP="001A068D">
      <w:pPr>
        <w:pStyle w:val="a3"/>
        <w:tabs>
          <w:tab w:val="left" w:pos="993"/>
        </w:tabs>
        <w:spacing w:after="0" w:line="276" w:lineRule="auto"/>
        <w:ind w:left="0" w:firstLine="709"/>
        <w:jc w:val="both"/>
        <w:rPr>
          <w:rFonts w:ascii="Times New Roman" w:hAnsi="Times New Roman" w:cs="Times New Roman"/>
          <w:sz w:val="28"/>
          <w:szCs w:val="28"/>
        </w:rPr>
      </w:pPr>
    </w:p>
    <w:p w14:paraId="45E20951"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09E75060" w14:textId="4D86C28A" w:rsidR="00B2554C" w:rsidRPr="00130BDF" w:rsidRDefault="00B2554C"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.11.</w:t>
      </w:r>
      <w:r w:rsidR="002A23C3" w:rsidRPr="00130BDF">
        <w:rPr>
          <w:rFonts w:ascii="Times New Roman" w:hAnsi="Times New Roman" w:cs="Times New Roman"/>
          <w:b/>
          <w:sz w:val="28"/>
          <w:szCs w:val="28"/>
        </w:rPr>
        <w:tab/>
        <w:t>Студенческие сервисы на программном уровне</w:t>
      </w:r>
    </w:p>
    <w:p w14:paraId="0D27FAE5" w14:textId="64150808" w:rsidR="008C5876" w:rsidRPr="001A068D" w:rsidRDefault="00EE6641"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Для обучающихся всех прошедших оценку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созданы возможности проходить подготовку по дополнительным программам образования, участвовать во внеучебной деятельности образовательной организации. Абсолютно большинство образовательных организаций регулярно проводят культурно-массовые и спортивные мероприятия для студентов, организуют регулярное проведение выездных конференций, семинаров, школ актива, которые позволяют наиболее качественно сформировать необходимые личностные и социальные компетенции.</w:t>
      </w:r>
      <w:r w:rsidR="008C5876" w:rsidRPr="001A068D">
        <w:rPr>
          <w:rFonts w:ascii="Times New Roman" w:hAnsi="Times New Roman" w:cs="Times New Roman"/>
          <w:sz w:val="28"/>
          <w:szCs w:val="28"/>
        </w:rPr>
        <w:t xml:space="preserve"> </w:t>
      </w:r>
    </w:p>
    <w:p w14:paraId="12666320" w14:textId="1ABBBAF0" w:rsidR="00EE6641" w:rsidRPr="001A068D" w:rsidRDefault="008C587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При этом результаты опроса студентов свидетельствуют о том, что обучающиеся более чем половины оцененных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проявляют очень низкую степень участия в дополнительных курсах и программах (более 75% не участвуют в доп. курсах и программах). На </w:t>
      </w:r>
      <w:r w:rsidR="00EE6641" w:rsidRPr="001A068D">
        <w:rPr>
          <w:rFonts w:ascii="Times New Roman" w:hAnsi="Times New Roman" w:cs="Times New Roman"/>
          <w:sz w:val="28"/>
          <w:szCs w:val="28"/>
        </w:rPr>
        <w:t xml:space="preserve">основании </w:t>
      </w:r>
      <w:r w:rsidRPr="001A068D">
        <w:rPr>
          <w:rFonts w:ascii="Times New Roman" w:hAnsi="Times New Roman" w:cs="Times New Roman"/>
          <w:sz w:val="28"/>
          <w:szCs w:val="28"/>
        </w:rPr>
        <w:t>этого</w:t>
      </w:r>
      <w:r w:rsidR="00EE6641" w:rsidRPr="001A068D">
        <w:rPr>
          <w:rFonts w:ascii="Times New Roman" w:hAnsi="Times New Roman" w:cs="Times New Roman"/>
          <w:sz w:val="28"/>
          <w:szCs w:val="28"/>
        </w:rPr>
        <w:t xml:space="preserve"> эксперты </w:t>
      </w:r>
      <w:r w:rsidRPr="001A068D">
        <w:rPr>
          <w:rFonts w:ascii="Times New Roman" w:hAnsi="Times New Roman" w:cs="Times New Roman"/>
          <w:sz w:val="28"/>
          <w:szCs w:val="28"/>
        </w:rPr>
        <w:t>р</w:t>
      </w:r>
      <w:r w:rsidR="00EE6641" w:rsidRPr="001A068D">
        <w:rPr>
          <w:rFonts w:ascii="Times New Roman" w:hAnsi="Times New Roman" w:cs="Times New Roman"/>
          <w:sz w:val="28"/>
          <w:szCs w:val="28"/>
        </w:rPr>
        <w:t>екоменду</w:t>
      </w:r>
      <w:r w:rsidRPr="001A068D">
        <w:rPr>
          <w:rFonts w:ascii="Times New Roman" w:hAnsi="Times New Roman" w:cs="Times New Roman"/>
          <w:sz w:val="28"/>
          <w:szCs w:val="28"/>
        </w:rPr>
        <w:t>ют</w:t>
      </w:r>
      <w:r w:rsidR="00EE6641" w:rsidRPr="001A068D">
        <w:rPr>
          <w:rFonts w:ascii="Times New Roman" w:hAnsi="Times New Roman" w:cs="Times New Roman"/>
          <w:sz w:val="28"/>
          <w:szCs w:val="28"/>
        </w:rPr>
        <w:t xml:space="preserve"> продумать систему мотивации студентов к дополнительному обучению</w:t>
      </w:r>
      <w:r w:rsidRPr="001A068D">
        <w:rPr>
          <w:rFonts w:ascii="Times New Roman" w:hAnsi="Times New Roman" w:cs="Times New Roman"/>
          <w:sz w:val="28"/>
          <w:szCs w:val="28"/>
        </w:rPr>
        <w:t>, в частности систему скидок.</w:t>
      </w:r>
    </w:p>
    <w:p w14:paraId="7C117E15" w14:textId="1A967A06" w:rsidR="008C5876" w:rsidRPr="001A068D" w:rsidRDefault="008C587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Еще одна частая рекомендация в связи с данным критерием касается расширения покрытия сети </w:t>
      </w:r>
      <w:r w:rsidR="00EE6641" w:rsidRPr="001A068D">
        <w:rPr>
          <w:rFonts w:ascii="Times New Roman" w:hAnsi="Times New Roman" w:cs="Times New Roman"/>
          <w:sz w:val="28"/>
          <w:szCs w:val="28"/>
        </w:rPr>
        <w:t>Wi-Fi в учебных корпус</w:t>
      </w:r>
      <w:r w:rsidRPr="001A068D">
        <w:rPr>
          <w:rFonts w:ascii="Times New Roman" w:hAnsi="Times New Roman" w:cs="Times New Roman"/>
          <w:sz w:val="28"/>
          <w:szCs w:val="28"/>
        </w:rPr>
        <w:t>ах, а также установить в холлах и коридорах ОУ точки доступа, т.е. мониторы с сенсорными экранами или компьютеры, связанные с сайтом ОУ и позволяющие студентам получать необходимую информацию о расписании занятий, о своей группе, об изучаемом предмете, о расписании преподавателя и т.д.</w:t>
      </w:r>
    </w:p>
    <w:p w14:paraId="4F3E0ACB" w14:textId="338B8765" w:rsidR="008C5876" w:rsidRPr="001A068D" w:rsidRDefault="008C587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 ряде отчетов сформулирована рекомендация обеспечить возможность получения скидки на оплату обучения, если студент совмещает учебу с работой в образовательной организации, а также возможность работы по гибкому графику.</w:t>
      </w:r>
    </w:p>
    <w:p w14:paraId="19D40835" w14:textId="36579C14" w:rsidR="008C5876" w:rsidRPr="001A068D" w:rsidRDefault="008C5876" w:rsidP="001A068D">
      <w:pPr>
        <w:pStyle w:val="a3"/>
        <w:tabs>
          <w:tab w:val="left" w:pos="993"/>
        </w:tabs>
        <w:spacing w:after="0" w:line="276" w:lineRule="auto"/>
        <w:ind w:left="0" w:firstLine="709"/>
        <w:jc w:val="both"/>
        <w:rPr>
          <w:rFonts w:ascii="Times New Roman" w:hAnsi="Times New Roman" w:cs="Times New Roman"/>
          <w:i/>
          <w:sz w:val="28"/>
          <w:szCs w:val="28"/>
        </w:rPr>
      </w:pPr>
    </w:p>
    <w:p w14:paraId="1C7877AA"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6BECB388" w14:textId="0B8C3275" w:rsidR="002A23C3" w:rsidRPr="00130BDF" w:rsidRDefault="00B2554C" w:rsidP="001A068D">
      <w:pPr>
        <w:pStyle w:val="a3"/>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2</w:t>
      </w:r>
      <w:r w:rsidR="002A23C3" w:rsidRPr="00130BDF">
        <w:rPr>
          <w:rFonts w:ascii="Times New Roman" w:hAnsi="Times New Roman" w:cs="Times New Roman"/>
          <w:b/>
          <w:sz w:val="28"/>
          <w:szCs w:val="28"/>
        </w:rPr>
        <w:t>.12.</w:t>
      </w:r>
      <w:r w:rsidR="002A23C3" w:rsidRPr="00130BDF">
        <w:rPr>
          <w:rFonts w:ascii="Times New Roman" w:hAnsi="Times New Roman" w:cs="Times New Roman"/>
          <w:b/>
          <w:sz w:val="28"/>
          <w:szCs w:val="28"/>
        </w:rPr>
        <w:tab/>
        <w:t>Профориентация. Оценка качества подготовки абитуриентов</w:t>
      </w:r>
    </w:p>
    <w:p w14:paraId="5774B967" w14:textId="4B537220" w:rsidR="003818CA" w:rsidRPr="001A068D" w:rsidRDefault="003C74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Абсолютное большинство проанализированных экспертных отчетов содержит информацию о том, что в рамках профориентационных </w:t>
      </w:r>
      <w:r w:rsidR="003818CA" w:rsidRPr="001A068D">
        <w:rPr>
          <w:rFonts w:ascii="Times New Roman" w:hAnsi="Times New Roman" w:cs="Times New Roman"/>
          <w:sz w:val="28"/>
          <w:szCs w:val="28"/>
        </w:rPr>
        <w:t>мероприяти</w:t>
      </w:r>
      <w:r w:rsidRPr="001A068D">
        <w:rPr>
          <w:rFonts w:ascii="Times New Roman" w:hAnsi="Times New Roman" w:cs="Times New Roman"/>
          <w:sz w:val="28"/>
          <w:szCs w:val="28"/>
        </w:rPr>
        <w:t>й для</w:t>
      </w:r>
      <w:r w:rsidR="003818CA" w:rsidRPr="001A068D">
        <w:rPr>
          <w:rFonts w:ascii="Times New Roman" w:hAnsi="Times New Roman" w:cs="Times New Roman"/>
          <w:sz w:val="28"/>
          <w:szCs w:val="28"/>
        </w:rPr>
        <w:t xml:space="preserve"> набора на </w:t>
      </w:r>
      <w:r w:rsidR="006170B3">
        <w:rPr>
          <w:rFonts w:ascii="Times New Roman" w:hAnsi="Times New Roman" w:cs="Times New Roman"/>
          <w:sz w:val="28"/>
          <w:szCs w:val="28"/>
        </w:rPr>
        <w:t>ОП</w:t>
      </w:r>
      <w:r w:rsidRPr="001A068D">
        <w:rPr>
          <w:rFonts w:ascii="Times New Roman" w:hAnsi="Times New Roman" w:cs="Times New Roman"/>
          <w:sz w:val="28"/>
          <w:szCs w:val="28"/>
        </w:rPr>
        <w:t xml:space="preserve"> проводились мероприятия различного типа:</w:t>
      </w:r>
      <w:r w:rsidR="003818CA" w:rsidRPr="001A068D">
        <w:rPr>
          <w:rFonts w:ascii="Times New Roman" w:hAnsi="Times New Roman" w:cs="Times New Roman"/>
          <w:sz w:val="28"/>
          <w:szCs w:val="28"/>
        </w:rPr>
        <w:t xml:space="preserve"> дни открытых дверей; профориентационные лекции и школах; участие в родительских собраниях; проведение для школьников культурных мероприятий</w:t>
      </w:r>
      <w:r w:rsidRPr="001A068D">
        <w:rPr>
          <w:rFonts w:ascii="Times New Roman" w:hAnsi="Times New Roman" w:cs="Times New Roman"/>
          <w:sz w:val="28"/>
          <w:szCs w:val="28"/>
        </w:rPr>
        <w:t>, проведение олимпиад по общеобразовательным предметам и привлечение участников олимпиад к работе научных студенческих кружков.</w:t>
      </w:r>
    </w:p>
    <w:p w14:paraId="5014E957" w14:textId="77777777" w:rsidR="003C7463" w:rsidRPr="001A068D" w:rsidRDefault="003C74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Кроме того, в большинстве образовательных организаций созданы возможности для подготовки абитуриентов к вступительным испытаниям и сдаче ЕГЭ. </w:t>
      </w:r>
      <w:r w:rsidR="003818CA" w:rsidRPr="001A068D">
        <w:rPr>
          <w:rFonts w:ascii="Times New Roman" w:hAnsi="Times New Roman" w:cs="Times New Roman"/>
          <w:sz w:val="28"/>
          <w:szCs w:val="28"/>
        </w:rPr>
        <w:t>Консультативная помощь потенциальным абитуриентам оказывается в рамках межвузовских мероприятий, таких как выставка «Образование и карьера», «Ярмарка профессий» и др.</w:t>
      </w:r>
    </w:p>
    <w:p w14:paraId="4D687A96" w14:textId="77777777" w:rsidR="0093217F" w:rsidRDefault="003C7463" w:rsidP="001A068D">
      <w:pPr>
        <w:pStyle w:val="a3"/>
        <w:tabs>
          <w:tab w:val="left" w:pos="993"/>
        </w:tabs>
        <w:spacing w:after="0" w:line="276" w:lineRule="auto"/>
        <w:ind w:left="0" w:firstLine="709"/>
        <w:jc w:val="both"/>
        <w:rPr>
          <w:rFonts w:ascii="Times New Roman" w:hAnsi="Times New Roman" w:cs="Times New Roman"/>
          <w:sz w:val="28"/>
          <w:szCs w:val="28"/>
        </w:rPr>
        <w:sectPr w:rsidR="0093217F">
          <w:footerReference w:type="default" r:id="rId9"/>
          <w:pgSz w:w="11906" w:h="16838"/>
          <w:pgMar w:top="1134" w:right="850" w:bottom="1134" w:left="1701" w:header="708" w:footer="708" w:gutter="0"/>
          <w:cols w:space="708"/>
          <w:docGrid w:linePitch="360"/>
        </w:sectPr>
      </w:pPr>
      <w:r w:rsidRPr="001A068D">
        <w:rPr>
          <w:rFonts w:ascii="Times New Roman" w:hAnsi="Times New Roman" w:cs="Times New Roman"/>
          <w:sz w:val="28"/>
          <w:szCs w:val="28"/>
        </w:rPr>
        <w:t>В целом уровень работы образовательных организаций по профориентации и подготовке абитуриентов оценивается экспертами как достаточный. При этом в ряде отчетов рекомендуется активизировать привлечение студентов на обучение по целевому направлению от организаций, а также, в некоторых случая</w:t>
      </w:r>
      <w:r w:rsidR="0093217F">
        <w:rPr>
          <w:rFonts w:ascii="Times New Roman" w:hAnsi="Times New Roman" w:cs="Times New Roman"/>
          <w:sz w:val="28"/>
          <w:szCs w:val="28"/>
        </w:rPr>
        <w:t xml:space="preserve">х, повысить пороговое значение </w:t>
      </w:r>
      <w:r w:rsidRPr="001A068D">
        <w:rPr>
          <w:rFonts w:ascii="Times New Roman" w:hAnsi="Times New Roman" w:cs="Times New Roman"/>
          <w:sz w:val="28"/>
          <w:szCs w:val="28"/>
        </w:rPr>
        <w:t xml:space="preserve">результатов ЕГЭ для договорной формы обучения. </w:t>
      </w:r>
    </w:p>
    <w:p w14:paraId="36CDC396" w14:textId="54938155" w:rsidR="003C7463" w:rsidRPr="00130BDF" w:rsidRDefault="003C7463" w:rsidP="001A068D">
      <w:pPr>
        <w:pStyle w:val="a3"/>
        <w:numPr>
          <w:ilvl w:val="0"/>
          <w:numId w:val="1"/>
        </w:numPr>
        <w:tabs>
          <w:tab w:val="left" w:pos="993"/>
        </w:tabs>
        <w:spacing w:after="0" w:line="276" w:lineRule="auto"/>
        <w:ind w:left="0" w:firstLine="709"/>
        <w:jc w:val="both"/>
        <w:rPr>
          <w:rFonts w:ascii="Times New Roman" w:hAnsi="Times New Roman" w:cs="Times New Roman"/>
          <w:b/>
          <w:sz w:val="28"/>
          <w:szCs w:val="28"/>
        </w:rPr>
      </w:pPr>
      <w:r w:rsidRPr="00130BDF">
        <w:rPr>
          <w:rFonts w:ascii="Times New Roman" w:hAnsi="Times New Roman" w:cs="Times New Roman"/>
          <w:b/>
          <w:sz w:val="28"/>
          <w:szCs w:val="28"/>
        </w:rPr>
        <w:lastRenderedPageBreak/>
        <w:t>Статистика АККОРК за 2014 г.</w:t>
      </w:r>
    </w:p>
    <w:tbl>
      <w:tblPr>
        <w:tblW w:w="12616" w:type="dxa"/>
        <w:tblInd w:w="-284" w:type="dxa"/>
        <w:tblLayout w:type="fixed"/>
        <w:tblLook w:val="04A0" w:firstRow="1" w:lastRow="0" w:firstColumn="1" w:lastColumn="0" w:noHBand="0" w:noVBand="1"/>
      </w:tblPr>
      <w:tblGrid>
        <w:gridCol w:w="3545"/>
        <w:gridCol w:w="1134"/>
        <w:gridCol w:w="1275"/>
        <w:gridCol w:w="1276"/>
        <w:gridCol w:w="958"/>
        <w:gridCol w:w="1276"/>
        <w:gridCol w:w="600"/>
        <w:gridCol w:w="1276"/>
        <w:gridCol w:w="1276"/>
      </w:tblGrid>
      <w:tr w:rsidR="00657F07" w:rsidRPr="00476FAD" w14:paraId="413D07BB" w14:textId="77777777" w:rsidTr="00044970">
        <w:trPr>
          <w:gridAfter w:val="2"/>
          <w:wAfter w:w="2552" w:type="dxa"/>
          <w:trHeight w:val="270"/>
        </w:trPr>
        <w:tc>
          <w:tcPr>
            <w:tcW w:w="3545" w:type="dxa"/>
            <w:tcBorders>
              <w:top w:val="nil"/>
              <w:left w:val="nil"/>
              <w:bottom w:val="nil"/>
              <w:right w:val="nil"/>
            </w:tcBorders>
            <w:shd w:val="clear" w:color="000000" w:fill="FFFFFF"/>
            <w:noWrap/>
            <w:vAlign w:val="bottom"/>
            <w:hideMark/>
          </w:tcPr>
          <w:p w14:paraId="74AE7FD4" w14:textId="77777777" w:rsidR="00657F07" w:rsidRPr="00657F07" w:rsidRDefault="00657F07" w:rsidP="00657F07">
            <w:pPr>
              <w:pStyle w:val="a3"/>
              <w:numPr>
                <w:ilvl w:val="0"/>
                <w:numId w:val="1"/>
              </w:numPr>
              <w:spacing w:after="0" w:line="240" w:lineRule="auto"/>
              <w:rPr>
                <w:rFonts w:ascii="Times New Roman" w:eastAsia="Times New Roman" w:hAnsi="Times New Roman" w:cs="Times New Roman"/>
                <w:color w:val="000000"/>
                <w:sz w:val="20"/>
                <w:szCs w:val="20"/>
                <w:lang w:eastAsia="ru-RU"/>
              </w:rPr>
            </w:pPr>
            <w:r w:rsidRPr="00657F07">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14:paraId="656AEE23"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bottom"/>
            <w:hideMark/>
          </w:tcPr>
          <w:p w14:paraId="523E93F3"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nil"/>
            </w:tcBorders>
            <w:shd w:val="clear" w:color="000000" w:fill="FFFFFF"/>
            <w:noWrap/>
            <w:vAlign w:val="bottom"/>
            <w:hideMark/>
          </w:tcPr>
          <w:p w14:paraId="45BEA5F2"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958" w:type="dxa"/>
            <w:tcBorders>
              <w:top w:val="nil"/>
              <w:left w:val="nil"/>
              <w:bottom w:val="nil"/>
              <w:right w:val="nil"/>
            </w:tcBorders>
            <w:shd w:val="clear" w:color="000000" w:fill="FFFFFF"/>
            <w:noWrap/>
            <w:vAlign w:val="bottom"/>
            <w:hideMark/>
          </w:tcPr>
          <w:p w14:paraId="3DF1187F"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14:paraId="654582F9"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600" w:type="dxa"/>
            <w:tcBorders>
              <w:top w:val="nil"/>
              <w:left w:val="nil"/>
              <w:bottom w:val="nil"/>
              <w:right w:val="nil"/>
            </w:tcBorders>
            <w:shd w:val="clear" w:color="000000" w:fill="FFFFFF"/>
            <w:noWrap/>
            <w:vAlign w:val="bottom"/>
            <w:hideMark/>
          </w:tcPr>
          <w:p w14:paraId="36BE6532"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657F07" w:rsidRPr="00476FAD" w14:paraId="17340391" w14:textId="77777777" w:rsidTr="00044970">
        <w:trPr>
          <w:gridAfter w:val="2"/>
          <w:wAfter w:w="2552" w:type="dxa"/>
          <w:trHeight w:val="270"/>
        </w:trPr>
        <w:tc>
          <w:tcPr>
            <w:tcW w:w="3545" w:type="dxa"/>
            <w:tcBorders>
              <w:top w:val="nil"/>
              <w:left w:val="nil"/>
              <w:bottom w:val="single" w:sz="8" w:space="0" w:color="auto"/>
              <w:right w:val="nil"/>
            </w:tcBorders>
            <w:shd w:val="clear" w:color="000000" w:fill="FFFFFF"/>
            <w:noWrap/>
            <w:vAlign w:val="bottom"/>
          </w:tcPr>
          <w:p w14:paraId="5D5E5F3B"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nil"/>
            </w:tcBorders>
            <w:shd w:val="clear" w:color="auto" w:fill="auto"/>
            <w:noWrap/>
            <w:vAlign w:val="bottom"/>
          </w:tcPr>
          <w:p w14:paraId="08785385"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8" w:space="0" w:color="auto"/>
              <w:right w:val="nil"/>
            </w:tcBorders>
            <w:shd w:val="clear" w:color="auto" w:fill="auto"/>
            <w:noWrap/>
            <w:vAlign w:val="bottom"/>
          </w:tcPr>
          <w:p w14:paraId="0B28DD2D"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nil"/>
            </w:tcBorders>
            <w:shd w:val="clear" w:color="000000" w:fill="FFFFFF"/>
            <w:noWrap/>
            <w:vAlign w:val="bottom"/>
          </w:tcPr>
          <w:p w14:paraId="39B9C23E"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958" w:type="dxa"/>
            <w:tcBorders>
              <w:top w:val="nil"/>
              <w:left w:val="nil"/>
              <w:bottom w:val="single" w:sz="8" w:space="0" w:color="auto"/>
              <w:right w:val="nil"/>
            </w:tcBorders>
            <w:shd w:val="clear" w:color="000000" w:fill="FFFFFF"/>
            <w:noWrap/>
            <w:vAlign w:val="bottom"/>
          </w:tcPr>
          <w:p w14:paraId="265D9586"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nil"/>
            </w:tcBorders>
            <w:shd w:val="clear" w:color="000000" w:fill="FFFFFF"/>
            <w:noWrap/>
            <w:vAlign w:val="bottom"/>
          </w:tcPr>
          <w:p w14:paraId="6F3DF6B7"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c>
          <w:tcPr>
            <w:tcW w:w="600" w:type="dxa"/>
            <w:tcBorders>
              <w:top w:val="nil"/>
              <w:left w:val="nil"/>
              <w:right w:val="nil"/>
            </w:tcBorders>
            <w:shd w:val="clear" w:color="000000" w:fill="FFFFFF"/>
            <w:noWrap/>
            <w:vAlign w:val="bottom"/>
          </w:tcPr>
          <w:p w14:paraId="372EBDCC" w14:textId="77777777" w:rsidR="00657F07" w:rsidRPr="00476FAD" w:rsidRDefault="00657F07" w:rsidP="00D53E39">
            <w:pPr>
              <w:spacing w:after="0" w:line="240" w:lineRule="auto"/>
              <w:rPr>
                <w:rFonts w:ascii="Times New Roman" w:eastAsia="Times New Roman" w:hAnsi="Times New Roman" w:cs="Times New Roman"/>
                <w:color w:val="000000"/>
                <w:sz w:val="20"/>
                <w:szCs w:val="20"/>
                <w:lang w:eastAsia="ru-RU"/>
              </w:rPr>
            </w:pPr>
          </w:p>
        </w:tc>
      </w:tr>
      <w:tr w:rsidR="00603D1A" w:rsidRPr="00044970" w14:paraId="18C69807" w14:textId="77777777" w:rsidTr="00044970">
        <w:trPr>
          <w:gridAfter w:val="2"/>
          <w:wAfter w:w="2552" w:type="dxa"/>
          <w:trHeight w:val="255"/>
        </w:trPr>
        <w:tc>
          <w:tcPr>
            <w:tcW w:w="354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41799DF4" w14:textId="3F597DDF"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BB14CD">
              <w:rPr>
                <w:rFonts w:ascii="Times New Roman" w:eastAsia="Times New Roman" w:hAnsi="Times New Roman" w:cs="Times New Roman"/>
                <w:b/>
                <w:color w:val="000000"/>
                <w:sz w:val="20"/>
                <w:szCs w:val="20"/>
                <w:lang w:eastAsia="ru-RU"/>
              </w:rPr>
              <w:t>Образовательная организация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1AD7008" w14:textId="6B8EEB21"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BB14CD">
              <w:rPr>
                <w:rFonts w:ascii="Times New Roman" w:eastAsia="Times New Roman" w:hAnsi="Times New Roman" w:cs="Times New Roman"/>
                <w:b/>
                <w:color w:val="000000"/>
                <w:sz w:val="20"/>
                <w:szCs w:val="20"/>
                <w:lang w:eastAsia="ru-RU"/>
              </w:rPr>
              <w:t>всего программ</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5AFCD4E" w14:textId="66A4F1AF"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BB14CD">
              <w:rPr>
                <w:rFonts w:ascii="Times New Roman" w:eastAsia="Times New Roman" w:hAnsi="Times New Roman" w:cs="Times New Roman"/>
                <w:b/>
                <w:color w:val="000000"/>
                <w:sz w:val="20"/>
                <w:szCs w:val="20"/>
                <w:lang w:eastAsia="ru-RU"/>
              </w:rPr>
              <w:t>Независимая оценка для целей проф.общ аккредит</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464007A" w14:textId="7762B10E" w:rsidR="00603D1A" w:rsidRPr="00603D1A"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BB14CD">
              <w:rPr>
                <w:rFonts w:ascii="Times New Roman" w:eastAsia="Times New Roman" w:hAnsi="Times New Roman" w:cs="Times New Roman"/>
                <w:b/>
                <w:color w:val="000000"/>
                <w:sz w:val="20"/>
                <w:szCs w:val="20"/>
                <w:lang w:eastAsia="ru-RU"/>
              </w:rPr>
              <w:t>Независимая оценка и общественная аккредитация</w:t>
            </w:r>
          </w:p>
        </w:tc>
        <w:tc>
          <w:tcPr>
            <w:tcW w:w="9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732BAC" w14:textId="56CFC6E8" w:rsidR="00603D1A" w:rsidRPr="00044970" w:rsidRDefault="00603D1A" w:rsidP="00603D1A">
            <w:pPr>
              <w:spacing w:after="0" w:line="240" w:lineRule="auto"/>
              <w:jc w:val="center"/>
              <w:rPr>
                <w:rFonts w:ascii="Times New Roman" w:eastAsia="Times New Roman" w:hAnsi="Times New Roman" w:cs="Times New Roman"/>
                <w:color w:val="000000"/>
                <w:sz w:val="20"/>
                <w:szCs w:val="20"/>
                <w:lang w:val="en-US" w:eastAsia="ru-RU"/>
              </w:rPr>
            </w:pPr>
            <w:r w:rsidRPr="00BB14CD">
              <w:rPr>
                <w:rFonts w:ascii="Times New Roman" w:eastAsia="Times New Roman" w:hAnsi="Times New Roman" w:cs="Times New Roman"/>
                <w:b/>
                <w:color w:val="000000"/>
                <w:sz w:val="20"/>
                <w:szCs w:val="20"/>
                <w:lang w:eastAsia="ru-RU"/>
              </w:rPr>
              <w:t>Межд аккредит</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C5F6024" w14:textId="5513F394" w:rsidR="00603D1A" w:rsidRPr="00383B97" w:rsidRDefault="00603D1A" w:rsidP="00603D1A">
            <w:pPr>
              <w:spacing w:after="0" w:line="240" w:lineRule="auto"/>
              <w:jc w:val="center"/>
              <w:rPr>
                <w:rFonts w:ascii="Times New Roman" w:eastAsia="Times New Roman" w:hAnsi="Times New Roman" w:cs="Times New Roman"/>
                <w:color w:val="000000"/>
                <w:sz w:val="20"/>
                <w:szCs w:val="20"/>
                <w:lang w:val="en-US" w:eastAsia="ru-RU"/>
              </w:rPr>
            </w:pPr>
            <w:r w:rsidRPr="00BB14CD">
              <w:rPr>
                <w:rFonts w:ascii="Times New Roman" w:eastAsia="Times New Roman" w:hAnsi="Times New Roman" w:cs="Times New Roman"/>
                <w:b/>
                <w:color w:val="000000"/>
                <w:sz w:val="20"/>
                <w:szCs w:val="20"/>
                <w:lang w:eastAsia="ru-RU"/>
              </w:rPr>
              <w:t>аккредитующая организация</w:t>
            </w:r>
          </w:p>
        </w:tc>
        <w:tc>
          <w:tcPr>
            <w:tcW w:w="600" w:type="dxa"/>
            <w:vMerge w:val="restart"/>
            <w:tcBorders>
              <w:left w:val="single" w:sz="8" w:space="0" w:color="auto"/>
            </w:tcBorders>
            <w:shd w:val="clear" w:color="auto" w:fill="auto"/>
            <w:vAlign w:val="center"/>
          </w:tcPr>
          <w:p w14:paraId="31F82C41" w14:textId="5627778D" w:rsidR="00603D1A" w:rsidRPr="00044970" w:rsidRDefault="00603D1A" w:rsidP="00603D1A">
            <w:pPr>
              <w:spacing w:after="0" w:line="240" w:lineRule="auto"/>
              <w:jc w:val="center"/>
              <w:rPr>
                <w:rFonts w:ascii="Times New Roman" w:eastAsia="Times New Roman" w:hAnsi="Times New Roman" w:cs="Times New Roman"/>
                <w:color w:val="000000"/>
                <w:sz w:val="20"/>
                <w:szCs w:val="20"/>
                <w:lang w:val="en-US" w:eastAsia="ru-RU"/>
              </w:rPr>
            </w:pPr>
          </w:p>
        </w:tc>
      </w:tr>
      <w:tr w:rsidR="00421021" w:rsidRPr="00044970" w14:paraId="336EF96A" w14:textId="77777777" w:rsidTr="00044970">
        <w:trPr>
          <w:gridAfter w:val="2"/>
          <w:wAfter w:w="2552" w:type="dxa"/>
          <w:trHeight w:val="450"/>
        </w:trPr>
        <w:tc>
          <w:tcPr>
            <w:tcW w:w="3545" w:type="dxa"/>
            <w:vMerge/>
            <w:tcBorders>
              <w:top w:val="single" w:sz="8" w:space="0" w:color="auto"/>
              <w:left w:val="single" w:sz="8" w:space="0" w:color="auto"/>
              <w:bottom w:val="single" w:sz="8" w:space="0" w:color="auto"/>
              <w:right w:val="single" w:sz="8" w:space="0" w:color="auto"/>
            </w:tcBorders>
            <w:vAlign w:val="center"/>
            <w:hideMark/>
          </w:tcPr>
          <w:p w14:paraId="15C2F2ED"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2EE3248"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14:paraId="370BD93C"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5C99ADFC"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958" w:type="dxa"/>
            <w:vMerge/>
            <w:tcBorders>
              <w:top w:val="single" w:sz="8" w:space="0" w:color="auto"/>
              <w:left w:val="single" w:sz="8" w:space="0" w:color="auto"/>
              <w:bottom w:val="single" w:sz="8" w:space="0" w:color="auto"/>
              <w:right w:val="single" w:sz="8" w:space="0" w:color="auto"/>
            </w:tcBorders>
            <w:vAlign w:val="center"/>
          </w:tcPr>
          <w:p w14:paraId="0EB47890"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3C81E1E3"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600" w:type="dxa"/>
            <w:vMerge/>
            <w:tcBorders>
              <w:left w:val="single" w:sz="8" w:space="0" w:color="auto"/>
            </w:tcBorders>
            <w:vAlign w:val="center"/>
          </w:tcPr>
          <w:p w14:paraId="5DC3966F"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r>
      <w:tr w:rsidR="00421021" w:rsidRPr="00044970" w14:paraId="04E28F04" w14:textId="77777777" w:rsidTr="00044970">
        <w:trPr>
          <w:gridAfter w:val="2"/>
          <w:wAfter w:w="2552" w:type="dxa"/>
          <w:trHeight w:val="450"/>
        </w:trPr>
        <w:tc>
          <w:tcPr>
            <w:tcW w:w="3545" w:type="dxa"/>
            <w:vMerge/>
            <w:tcBorders>
              <w:top w:val="single" w:sz="8" w:space="0" w:color="auto"/>
              <w:left w:val="single" w:sz="8" w:space="0" w:color="auto"/>
              <w:bottom w:val="single" w:sz="8" w:space="0" w:color="auto"/>
              <w:right w:val="single" w:sz="8" w:space="0" w:color="auto"/>
            </w:tcBorders>
            <w:vAlign w:val="center"/>
            <w:hideMark/>
          </w:tcPr>
          <w:p w14:paraId="43633039"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4F3DD6F1"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14:paraId="126BCC65"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4C8D074C"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958" w:type="dxa"/>
            <w:vMerge/>
            <w:tcBorders>
              <w:top w:val="single" w:sz="8" w:space="0" w:color="auto"/>
              <w:left w:val="single" w:sz="8" w:space="0" w:color="auto"/>
              <w:bottom w:val="single" w:sz="8" w:space="0" w:color="auto"/>
              <w:right w:val="single" w:sz="8" w:space="0" w:color="auto"/>
            </w:tcBorders>
            <w:vAlign w:val="center"/>
          </w:tcPr>
          <w:p w14:paraId="595DC8D2"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7DEE14CD"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600" w:type="dxa"/>
            <w:vMerge/>
            <w:tcBorders>
              <w:left w:val="single" w:sz="8" w:space="0" w:color="auto"/>
            </w:tcBorders>
            <w:vAlign w:val="center"/>
          </w:tcPr>
          <w:p w14:paraId="31A0E79F"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r>
      <w:tr w:rsidR="00421021" w:rsidRPr="00044970" w14:paraId="29480D83" w14:textId="77777777" w:rsidTr="00044970">
        <w:trPr>
          <w:gridAfter w:val="2"/>
          <w:wAfter w:w="2552" w:type="dxa"/>
          <w:trHeight w:val="450"/>
        </w:trPr>
        <w:tc>
          <w:tcPr>
            <w:tcW w:w="3545" w:type="dxa"/>
            <w:vMerge/>
            <w:tcBorders>
              <w:top w:val="single" w:sz="8" w:space="0" w:color="auto"/>
              <w:left w:val="single" w:sz="8" w:space="0" w:color="auto"/>
              <w:bottom w:val="single" w:sz="8" w:space="0" w:color="auto"/>
              <w:right w:val="single" w:sz="8" w:space="0" w:color="auto"/>
            </w:tcBorders>
            <w:vAlign w:val="center"/>
            <w:hideMark/>
          </w:tcPr>
          <w:p w14:paraId="02952E2D"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30191DC9"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5" w:type="dxa"/>
            <w:vMerge/>
            <w:tcBorders>
              <w:top w:val="single" w:sz="8" w:space="0" w:color="auto"/>
              <w:left w:val="single" w:sz="8" w:space="0" w:color="auto"/>
              <w:bottom w:val="single" w:sz="8" w:space="0" w:color="auto"/>
              <w:right w:val="single" w:sz="8" w:space="0" w:color="auto"/>
            </w:tcBorders>
            <w:vAlign w:val="center"/>
            <w:hideMark/>
          </w:tcPr>
          <w:p w14:paraId="4E986CA8"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488D4232"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958" w:type="dxa"/>
            <w:vMerge/>
            <w:tcBorders>
              <w:top w:val="single" w:sz="8" w:space="0" w:color="auto"/>
              <w:left w:val="single" w:sz="8" w:space="0" w:color="auto"/>
              <w:bottom w:val="single" w:sz="8" w:space="0" w:color="auto"/>
              <w:right w:val="single" w:sz="8" w:space="0" w:color="auto"/>
            </w:tcBorders>
            <w:vAlign w:val="center"/>
          </w:tcPr>
          <w:p w14:paraId="6E3157D8"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1276" w:type="dxa"/>
            <w:vMerge/>
            <w:tcBorders>
              <w:top w:val="single" w:sz="8" w:space="0" w:color="auto"/>
              <w:left w:val="single" w:sz="8" w:space="0" w:color="auto"/>
              <w:bottom w:val="single" w:sz="8" w:space="0" w:color="auto"/>
              <w:right w:val="single" w:sz="8" w:space="0" w:color="auto"/>
            </w:tcBorders>
            <w:vAlign w:val="center"/>
          </w:tcPr>
          <w:p w14:paraId="7603F7F2"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c>
          <w:tcPr>
            <w:tcW w:w="600" w:type="dxa"/>
            <w:vMerge/>
            <w:tcBorders>
              <w:left w:val="single" w:sz="8" w:space="0" w:color="auto"/>
            </w:tcBorders>
            <w:vAlign w:val="center"/>
          </w:tcPr>
          <w:p w14:paraId="114BF022" w14:textId="77777777" w:rsidR="00421021" w:rsidRPr="00044970" w:rsidRDefault="00421021" w:rsidP="00421021">
            <w:pPr>
              <w:spacing w:after="0" w:line="240" w:lineRule="auto"/>
              <w:rPr>
                <w:rFonts w:ascii="Times New Roman" w:eastAsia="Times New Roman" w:hAnsi="Times New Roman" w:cs="Times New Roman"/>
                <w:color w:val="000000"/>
                <w:sz w:val="20"/>
                <w:szCs w:val="20"/>
                <w:lang w:val="en-US" w:eastAsia="ru-RU"/>
              </w:rPr>
            </w:pPr>
          </w:p>
        </w:tc>
      </w:tr>
      <w:tr w:rsidR="00603D1A" w:rsidRPr="00476FAD" w14:paraId="526F2D51" w14:textId="77777777" w:rsidTr="00044970">
        <w:trPr>
          <w:gridAfter w:val="2"/>
          <w:wAfter w:w="2552" w:type="dxa"/>
          <w:trHeight w:val="1031"/>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3B272B" w14:textId="763C911C" w:rsidR="00603D1A" w:rsidRPr="00603D1A" w:rsidRDefault="00603D1A" w:rsidP="00603D1A">
            <w:pPr>
              <w:spacing w:after="0" w:line="240" w:lineRule="auto"/>
              <w:jc w:val="both"/>
              <w:rPr>
                <w:rFonts w:ascii="Adobe Garamond Pro Bold" w:eastAsia="Times New Roman" w:hAnsi="Adobe Garamond Pro Bold" w:cs="Calibri"/>
                <w:color w:val="000000"/>
                <w:sz w:val="20"/>
                <w:szCs w:val="20"/>
                <w:lang w:eastAsia="ru-RU"/>
              </w:rPr>
            </w:pPr>
            <w:r w:rsidRPr="007C07A5">
              <w:rPr>
                <w:rFonts w:ascii="Adobe Garamond Pro Bold" w:eastAsia="Times New Roman" w:hAnsi="Adobe Garamond Pro Bold" w:cs="Calibri"/>
                <w:color w:val="000000"/>
                <w:sz w:val="20"/>
                <w:szCs w:val="20"/>
                <w:lang w:eastAsia="ru-RU"/>
              </w:rPr>
              <w:t>Федеральное государственное бюджетное образовательное учреждение высшего профессионального образования «Владимирский государственный университет имени Александра Григорьевича и Николая Григорьевича Столетовых» (ВлГУ)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5A6887"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68B697"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B31BDDC" w14:textId="25379513"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E4D7644" w14:textId="605EBAB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CBEE445" w14:textId="6F0B319B"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left w:val="single" w:sz="8" w:space="0" w:color="auto"/>
            </w:tcBorders>
            <w:shd w:val="clear" w:color="000000" w:fill="FFFFFF"/>
            <w:vAlign w:val="center"/>
          </w:tcPr>
          <w:p w14:paraId="72481589" w14:textId="432248DE"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6325E38" w14:textId="77777777" w:rsidTr="00044970">
        <w:trPr>
          <w:gridAfter w:val="2"/>
          <w:wAfter w:w="2552" w:type="dxa"/>
          <w:trHeight w:val="849"/>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A62B5" w14:textId="35A6E28F" w:rsidR="00603D1A" w:rsidRPr="00485EA8" w:rsidRDefault="00603D1A" w:rsidP="00603D1A">
            <w:pPr>
              <w:spacing w:after="0" w:line="240" w:lineRule="auto"/>
              <w:jc w:val="both"/>
              <w:rPr>
                <w:rFonts w:ascii="Adobe Garamond Pro Bold" w:eastAsia="Times New Roman" w:hAnsi="Adobe Garamond Pro Bold" w:cs="Calibri"/>
                <w:color w:val="000000"/>
                <w:sz w:val="20"/>
                <w:szCs w:val="20"/>
                <w:lang w:val="en-US" w:eastAsia="ru-RU"/>
              </w:rPr>
            </w:pPr>
            <w:r w:rsidRPr="007C07A5">
              <w:rPr>
                <w:rFonts w:ascii="Adobe Garamond Pro Bold" w:eastAsia="Times New Roman" w:hAnsi="Adobe Garamond Pro Bold" w:cs="Calibri"/>
                <w:color w:val="000000"/>
                <w:sz w:val="20"/>
                <w:szCs w:val="20"/>
                <w:lang w:eastAsia="ru-RU"/>
              </w:rPr>
              <w:t>Федеральное государственное бюджетное образовательное учреждение высшего образования «Елецкий государственный университет им. И.А. Бунина» (ФГБОУ ВО «Елецкий государственный университет им. И.А. Бунина», ЕГУ им. И.А. Бунина.)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196AE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27261D"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4</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DEE0C97" w14:textId="2D2DDCE4"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5065BF77" w14:textId="537FEB92"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A6F246D" w14:textId="1B7AFD06"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44D54E87" w14:textId="1552550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F2CF8BA"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155567A2" w14:textId="7F15FF0B"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«ЗабГУ»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756ACD" w14:textId="795C2D09" w:rsidR="00603D1A" w:rsidRPr="00485EA8" w:rsidRDefault="00603D1A" w:rsidP="00603D1A">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QAS</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B8EEFC0"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59051D8"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1CA0B50C" w14:textId="77777777" w:rsidR="00603D1A" w:rsidRPr="007C07A5" w:rsidRDefault="00603D1A" w:rsidP="00603D1A">
            <w:pPr>
              <w:spacing w:after="0" w:line="240" w:lineRule="auto"/>
              <w:jc w:val="center"/>
              <w:rPr>
                <w:rFonts w:ascii="Times New Roman" w:eastAsia="Times New Roman" w:hAnsi="Times New Roman" w:cs="Times New Roman"/>
                <w:color w:val="FF0000"/>
                <w:sz w:val="20"/>
                <w:szCs w:val="20"/>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C4E3E36"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40B587F1"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6A35BD58"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4B4EB8AF" w14:textId="6342534F"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(НИУ ТГУ)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0FE57F"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3</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4AE3FD65"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0038E4A8" w14:textId="6D7D2A96"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1A8B017" w14:textId="75D7A191"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F781887" w14:textId="0FC7F743"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1D51E7C9"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61984A22"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AADC312" w14:textId="73149DF6"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72144CE"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25986AE"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F906DA5" w14:textId="6C5E393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1</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2CB21C5" w14:textId="75C64227"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5DB5057" w14:textId="1F20EF63"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29A60847"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6AC7EF94"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A60D8FD" w14:textId="19573598"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культуры и искусств" (МГУКИ)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0712532"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6FACCD5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34EB589" w14:textId="51E4DB83"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0D971952" w14:textId="53C6087B"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78B31C61" w14:textId="1F32F0A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0A549AEB"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9FC0EAC"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133EE22D" w14:textId="0E616619"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 (РГСУ)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E7790EA"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17</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BFF6687"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r>
              <w:rPr>
                <w:rFonts w:ascii="Calibri" w:eastAsia="Times New Roman" w:hAnsi="Calibri" w:cs="Calibri"/>
                <w:color w:val="000000"/>
                <w:sz w:val="20"/>
                <w:szCs w:val="20"/>
                <w:lang w:eastAsia="ru-RU"/>
              </w:rPr>
              <w:t>3</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6F3DC53" w14:textId="51643BC7" w:rsidR="00603D1A" w:rsidRPr="004E3284" w:rsidRDefault="00603D1A" w:rsidP="00603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345843B4" w14:textId="0CF13216"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92A2B48" w14:textId="4AF64DCF"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21CB294C"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34359152"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5CB8998" w14:textId="2DA6816F"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lastRenderedPageBreak/>
              <w:t>Федеральное государственное бюджетное образовательное учреждение высшего профессионального образования «Сахалинский государственный университет» (СахГУ)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C6A4D0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8</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651A0A50"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8C94E2B" w14:textId="1EC44F44"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1DC8ACB4" w14:textId="5BA214C7"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6962A24" w14:textId="20AD4AB4"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39DB7C1F"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2EBBFBD5"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0614CB63" w14:textId="563E138E"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государственное</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автономное</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образовательное</w:t>
            </w:r>
            <w:r w:rsidRPr="007C07A5">
              <w:rPr>
                <w:rFonts w:ascii="Adobe Garamond Pro Bold" w:eastAsia="Times New Roman" w:hAnsi="Adobe Garamond Pro Bold" w:cs="Calibri"/>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учреждение</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высшего</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образования</w:t>
            </w:r>
            <w:r w:rsidRPr="007C07A5">
              <w:rPr>
                <w:rFonts w:ascii="Adobe Garamond Pro Bold" w:eastAsia="Times New Roman" w:hAnsi="Adobe Garamond Pro Bold" w:cs="Calibri"/>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Северо</w:t>
            </w:r>
            <w:r w:rsidRPr="007C07A5">
              <w:rPr>
                <w:rFonts w:ascii="Adobe Garamond Pro Bold" w:eastAsia="Times New Roman" w:hAnsi="Adobe Garamond Pro Bold" w:cs="Adobe Garamond Pro Bold"/>
                <w:color w:val="000000"/>
                <w:sz w:val="20"/>
                <w:szCs w:val="20"/>
                <w:lang w:eastAsia="ru-RU"/>
              </w:rPr>
              <w:t>-</w:t>
            </w:r>
            <w:r w:rsidRPr="007C07A5">
              <w:rPr>
                <w:rFonts w:ascii="Times New Roman" w:eastAsia="Times New Roman" w:hAnsi="Times New Roman" w:cs="Times New Roman"/>
                <w:color w:val="000000"/>
                <w:sz w:val="20"/>
                <w:szCs w:val="20"/>
                <w:lang w:eastAsia="ru-RU"/>
              </w:rPr>
              <w:t>Кавказский</w:t>
            </w:r>
            <w:r w:rsidRPr="007C07A5">
              <w:rPr>
                <w:rFonts w:ascii="Adobe Garamond Pro Bold" w:eastAsia="Times New Roman" w:hAnsi="Adobe Garamond Pro Bold" w:cs="Adobe Garamond Pro Bold"/>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федеральный</w:t>
            </w:r>
            <w:r w:rsidRPr="007C07A5">
              <w:rPr>
                <w:rFonts w:ascii="Adobe Garamond Pro Bold" w:eastAsia="Times New Roman" w:hAnsi="Adobe Garamond Pro Bold" w:cs="Calibri"/>
                <w:color w:val="000000"/>
                <w:sz w:val="20"/>
                <w:szCs w:val="20"/>
                <w:lang w:eastAsia="ru-RU"/>
              </w:rPr>
              <w:t xml:space="preserve"> </w:t>
            </w:r>
            <w:r w:rsidRPr="007C07A5">
              <w:rPr>
                <w:rFonts w:ascii="Times New Roman" w:eastAsia="Times New Roman" w:hAnsi="Times New Roman" w:cs="Times New Roman"/>
                <w:color w:val="000000"/>
                <w:sz w:val="20"/>
                <w:szCs w:val="20"/>
                <w:lang w:eastAsia="ru-RU"/>
              </w:rPr>
              <w:t>университет</w:t>
            </w:r>
            <w:r w:rsidRPr="007C07A5">
              <w:rPr>
                <w:rFonts w:ascii="Adobe Garamond Pro Bold" w:eastAsia="Times New Roman" w:hAnsi="Adobe Garamond Pro Bold" w:cs="Calibri"/>
                <w:color w:val="000000"/>
                <w:sz w:val="20"/>
                <w:szCs w:val="20"/>
                <w:lang w:eastAsia="ru-RU"/>
              </w:rPr>
              <w:t>" (</w:t>
            </w:r>
            <w:r w:rsidRPr="007C07A5">
              <w:rPr>
                <w:rFonts w:ascii="Times New Roman" w:eastAsia="Times New Roman" w:hAnsi="Times New Roman" w:cs="Times New Roman"/>
                <w:color w:val="000000"/>
                <w:sz w:val="20"/>
                <w:szCs w:val="20"/>
                <w:lang w:eastAsia="ru-RU"/>
              </w:rPr>
              <w:t>СКФУ</w:t>
            </w:r>
            <w:r w:rsidRPr="007C07A5">
              <w:rPr>
                <w:rFonts w:ascii="Adobe Garamond Pro Bold" w:eastAsia="Times New Roman" w:hAnsi="Adobe Garamond Pro Bold" w:cs="Calibri"/>
                <w:color w:val="000000"/>
                <w:sz w:val="20"/>
                <w:szCs w:val="20"/>
                <w:lang w:eastAsia="ru-RU"/>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6CB4B36" w14:textId="63CAC22D" w:rsidR="00603D1A" w:rsidRPr="00485EA8" w:rsidRDefault="00603D1A" w:rsidP="00603D1A">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201143F1" w14:textId="27AC5961" w:rsidR="00603D1A" w:rsidRPr="00485EA8" w:rsidRDefault="00603D1A" w:rsidP="00603D1A">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3E88550" w14:textId="7404032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4</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A4F0A9B" w14:textId="58FA392C"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556AD28" w14:textId="2D93A0FF"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593DB0FF"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B973CFF"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7CB8E202" w14:textId="3EB454B4"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образования «Тюменская государственная медицинская академия» (ТюмГМА)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BC35971"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04B217C"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0D507F4C" w14:textId="127041CD"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643033CA" w14:textId="77990FC4"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83FBA87" w14:textId="371769DD"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2FE3A755"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val="en-US" w:eastAsia="ru-RU"/>
              </w:rPr>
            </w:pPr>
          </w:p>
        </w:tc>
      </w:tr>
      <w:tr w:rsidR="00603D1A" w:rsidRPr="00476FAD" w14:paraId="045F0D3A"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040BE9AB" w14:textId="68996536"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образования «Тюменский государственный нефтегазовый университет» (ТюмГНГУ)</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80FEF3B"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9</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659876B"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9</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7E8C753D" w14:textId="45FEB82E"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6D7AA97B" w14:textId="57EC9ECA"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5C4CB7F" w14:textId="2DCBCE30"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39BF8BB2"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30AB87CE"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4D8B0A37" w14:textId="4B4FD3D8"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Государственное образовательное учреждение высшего профессионального образования Ханты-Мансийского автономного округа – Югры «Ханты-Мансийская государственная медицинская академия» (ХМГМА)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13B6E5"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15C6402"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0755B06" w14:textId="2B94A2AC"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5131B4CB" w14:textId="00315A8F" w:rsidR="00603D1A" w:rsidRPr="007C07A5" w:rsidRDefault="00603D1A" w:rsidP="00603D1A">
            <w:pPr>
              <w:spacing w:after="0" w:line="240" w:lineRule="auto"/>
              <w:jc w:val="center"/>
              <w:rPr>
                <w:rFonts w:ascii="Times New Roman" w:eastAsia="Times New Roman" w:hAnsi="Times New Roman" w:cs="Times New Roman"/>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7AF1B1C0" w14:textId="0678B0DC"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253D0312"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620506D3" w14:textId="77777777" w:rsidTr="00044970">
        <w:trPr>
          <w:gridAfter w:val="2"/>
          <w:wAfter w:w="2552" w:type="dxa"/>
          <w:trHeight w:val="833"/>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3F85C181" w14:textId="2F0D2294" w:rsidR="00603D1A" w:rsidRPr="00603D1A" w:rsidRDefault="00603D1A" w:rsidP="00603D1A">
            <w:pPr>
              <w:spacing w:after="0" w:line="240" w:lineRule="auto"/>
              <w:jc w:val="both"/>
              <w:rPr>
                <w:rFonts w:ascii="Adobe Garamond Pro Bold" w:eastAsia="Times New Roman" w:hAnsi="Adobe Garamond Pro Bold" w:cs="Calibri"/>
                <w:color w:val="000000"/>
                <w:sz w:val="20"/>
                <w:szCs w:val="20"/>
                <w:lang w:eastAsia="ru-RU"/>
              </w:rPr>
            </w:pPr>
            <w:r w:rsidRPr="007C07A5">
              <w:rPr>
                <w:rFonts w:eastAsia="Times New Roman" w:cs="Calibri"/>
                <w:color w:val="000000"/>
                <w:sz w:val="20"/>
                <w:szCs w:val="20"/>
                <w:lang w:eastAsia="ru-RU"/>
              </w:rPr>
              <w:t>ф</w:t>
            </w:r>
            <w:r w:rsidRPr="007C07A5">
              <w:rPr>
                <w:rFonts w:ascii="Adobe Garamond Pro Bold" w:eastAsia="Times New Roman" w:hAnsi="Adobe Garamond Pro Bold" w:cs="Calibri"/>
                <w:color w:val="000000"/>
                <w:sz w:val="20"/>
                <w:szCs w:val="20"/>
                <w:lang w:eastAsia="ru-RU"/>
              </w:rPr>
              <w:t>едеральное государственное автономное  образовательное учреждение высшего образования «Российский университет дружбы народов» (РУДН)</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95D3946"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5</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586AE9E0"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89B201A" w14:textId="006BCAAA"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val="en-US"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122B443D" w14:textId="424A7D6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0E593E1" w14:textId="5849907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DEVA-AAC</w:t>
            </w:r>
          </w:p>
        </w:tc>
        <w:tc>
          <w:tcPr>
            <w:tcW w:w="600" w:type="dxa"/>
            <w:tcBorders>
              <w:top w:val="nil"/>
              <w:left w:val="single" w:sz="8" w:space="0" w:color="auto"/>
            </w:tcBorders>
            <w:shd w:val="clear" w:color="000000" w:fill="FFFFFF"/>
            <w:vAlign w:val="center"/>
          </w:tcPr>
          <w:p w14:paraId="2266EFAA" w14:textId="1294A1FF"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C998B04" w14:textId="77777777" w:rsidTr="00044970">
        <w:trPr>
          <w:gridAfter w:val="2"/>
          <w:wAfter w:w="2552" w:type="dxa"/>
          <w:trHeight w:val="797"/>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75E3C416" w14:textId="297F9DEF" w:rsidR="00603D1A" w:rsidRPr="00603D1A" w:rsidRDefault="00603D1A" w:rsidP="00603D1A">
            <w:pPr>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Федеральное автономное учреждение  «Институт повышения квалификации работников и специалистов лесного хозяйства Сибири и Дальнего Востока» (ФАУ ИПКЛХ СиДВ)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DE66E5D" w14:textId="4FDE2763" w:rsidR="00603D1A" w:rsidRPr="00485EA8" w:rsidRDefault="00603D1A" w:rsidP="00603D1A">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val="en-US" w:eastAsia="ru-RU"/>
              </w:rPr>
              <w:t>6</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4C24AEB1"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64E8C07" w14:textId="7E1C3E0F"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 xml:space="preserve">6 </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7E5EA635" w14:textId="749345B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01B2BE7" w14:textId="7C288CEC"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auto" w:fill="auto"/>
            <w:vAlign w:val="center"/>
          </w:tcPr>
          <w:p w14:paraId="7D6FFF14"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C019506" w14:textId="77777777" w:rsidTr="00044970">
        <w:trPr>
          <w:gridAfter w:val="2"/>
          <w:wAfter w:w="2552" w:type="dxa"/>
          <w:trHeight w:val="202"/>
        </w:trPr>
        <w:tc>
          <w:tcPr>
            <w:tcW w:w="354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976EFE5" w14:textId="20AA7AC8" w:rsidR="00603D1A" w:rsidRPr="007C07A5" w:rsidRDefault="00603D1A" w:rsidP="00603D1A">
            <w:pPr>
              <w:spacing w:after="0" w:line="240" w:lineRule="auto"/>
              <w:jc w:val="right"/>
              <w:rPr>
                <w:rFonts w:ascii="Adobe Garamond Pro Bold" w:eastAsia="Times New Roman" w:hAnsi="Adobe Garamond Pro Bold" w:cs="Calibri"/>
                <w:color w:val="000000"/>
                <w:sz w:val="20"/>
                <w:szCs w:val="20"/>
                <w:lang w:eastAsia="ru-RU"/>
              </w:rPr>
            </w:pPr>
            <w:r w:rsidRPr="007C07A5">
              <w:rPr>
                <w:rFonts w:ascii="Adobe Garamond Pro Bold" w:eastAsia="Times New Roman" w:hAnsi="Adobe Garamond Pro Bold" w:cs="Calibri"/>
                <w:color w:val="000000"/>
                <w:sz w:val="20"/>
                <w:szCs w:val="20"/>
                <w:lang w:eastAsia="ru-RU"/>
              </w:rPr>
              <w:t> </w:t>
            </w:r>
            <w:r w:rsidRPr="007C07A5">
              <w:rPr>
                <w:rFonts w:ascii="Times New Roman" w:eastAsia="Times New Roman" w:hAnsi="Times New Roman" w:cs="Times New Roman"/>
                <w:b/>
                <w:bCs/>
                <w:color w:val="000000"/>
                <w:sz w:val="20"/>
                <w:szCs w:val="20"/>
                <w:lang w:eastAsia="ru-RU"/>
              </w:rPr>
              <w:t>ИТОГО</w:t>
            </w:r>
            <w:r w:rsidRPr="007C07A5">
              <w:rPr>
                <w:rFonts w:ascii="Adobe Garamond Pro Bold" w:eastAsia="Times New Roman" w:hAnsi="Adobe Garamond Pro Bold" w:cs="Calibri"/>
                <w:b/>
                <w:bCs/>
                <w:color w:val="000000"/>
                <w:sz w:val="20"/>
                <w:szCs w:val="20"/>
                <w:lang w:eastAsia="ru-RU"/>
              </w:rPr>
              <w:t>:</w:t>
            </w:r>
          </w:p>
        </w:tc>
        <w:tc>
          <w:tcPr>
            <w:tcW w:w="1134"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2DDFD0F" w14:textId="353A7244" w:rsidR="00603D1A" w:rsidRPr="00485EA8" w:rsidRDefault="00603D1A" w:rsidP="00603D1A">
            <w:pPr>
              <w:spacing w:after="0" w:line="240" w:lineRule="auto"/>
              <w:jc w:val="center"/>
              <w:rPr>
                <w:rFonts w:ascii="Calibri" w:eastAsia="Times New Roman" w:hAnsi="Calibri" w:cs="Calibri"/>
                <w:b/>
                <w:color w:val="000000"/>
                <w:sz w:val="20"/>
                <w:szCs w:val="20"/>
                <w:lang w:val="en-US" w:eastAsia="ru-RU"/>
              </w:rPr>
            </w:pPr>
            <w:r>
              <w:rPr>
                <w:rFonts w:ascii="Calibri" w:eastAsia="Times New Roman" w:hAnsi="Calibri" w:cs="Calibri"/>
                <w:b/>
                <w:color w:val="000000"/>
                <w:sz w:val="20"/>
                <w:szCs w:val="20"/>
                <w:lang w:val="en-US" w:eastAsia="ru-RU"/>
              </w:rPr>
              <w:t>64</w:t>
            </w:r>
          </w:p>
        </w:tc>
        <w:tc>
          <w:tcPr>
            <w:tcW w:w="1275"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941EC43" w14:textId="1326F31E" w:rsidR="00603D1A" w:rsidRPr="00485EA8" w:rsidRDefault="00603D1A" w:rsidP="00603D1A">
            <w:pPr>
              <w:spacing w:after="0" w:line="240" w:lineRule="auto"/>
              <w:jc w:val="center"/>
              <w:rPr>
                <w:rFonts w:ascii="Calibri" w:eastAsia="Times New Roman" w:hAnsi="Calibri" w:cs="Calibri"/>
                <w:b/>
                <w:color w:val="000000"/>
                <w:sz w:val="20"/>
                <w:szCs w:val="20"/>
                <w:lang w:val="en-US" w:eastAsia="ru-RU"/>
              </w:rPr>
            </w:pPr>
            <w:r>
              <w:rPr>
                <w:rFonts w:ascii="Calibri" w:eastAsia="Times New Roman" w:hAnsi="Calibri" w:cs="Calibri"/>
                <w:b/>
                <w:color w:val="000000"/>
                <w:sz w:val="20"/>
                <w:szCs w:val="20"/>
                <w:lang w:val="en-US" w:eastAsia="ru-RU"/>
              </w:rPr>
              <w:t>45</w:t>
            </w:r>
          </w:p>
        </w:tc>
        <w:tc>
          <w:tcPr>
            <w:tcW w:w="1276" w:type="dxa"/>
            <w:tcBorders>
              <w:top w:val="single" w:sz="8" w:space="0" w:color="auto"/>
              <w:left w:val="single" w:sz="8" w:space="0" w:color="auto"/>
              <w:bottom w:val="single" w:sz="8" w:space="0" w:color="auto"/>
              <w:right w:val="single" w:sz="8" w:space="0" w:color="auto"/>
            </w:tcBorders>
            <w:shd w:val="clear" w:color="000000" w:fill="F2F2F2"/>
            <w:vAlign w:val="center"/>
          </w:tcPr>
          <w:p w14:paraId="31118894" w14:textId="6D01AE30"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r w:rsidRPr="007C07A5">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eastAsia="ru-RU"/>
              </w:rPr>
              <w:t>7</w:t>
            </w:r>
          </w:p>
        </w:tc>
        <w:tc>
          <w:tcPr>
            <w:tcW w:w="958" w:type="dxa"/>
            <w:tcBorders>
              <w:top w:val="single" w:sz="8" w:space="0" w:color="auto"/>
              <w:left w:val="single" w:sz="8" w:space="0" w:color="auto"/>
              <w:bottom w:val="single" w:sz="8" w:space="0" w:color="auto"/>
              <w:right w:val="single" w:sz="8" w:space="0" w:color="auto"/>
            </w:tcBorders>
            <w:shd w:val="clear" w:color="000000" w:fill="F2F2F2"/>
            <w:vAlign w:val="center"/>
          </w:tcPr>
          <w:p w14:paraId="08B15F20" w14:textId="13BE1882"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r w:rsidRPr="007C07A5">
              <w:rPr>
                <w:rFonts w:ascii="Times New Roman" w:eastAsia="Times New Roman" w:hAnsi="Times New Roman" w:cs="Times New Roman"/>
                <w:b/>
                <w:color w:val="000000"/>
                <w:sz w:val="20"/>
                <w:szCs w:val="20"/>
                <w:lang w:eastAsia="ru-RU"/>
              </w:rPr>
              <w:t>5</w:t>
            </w:r>
          </w:p>
        </w:tc>
        <w:tc>
          <w:tcPr>
            <w:tcW w:w="1276" w:type="dxa"/>
            <w:tcBorders>
              <w:top w:val="single" w:sz="8" w:space="0" w:color="auto"/>
              <w:left w:val="single" w:sz="8" w:space="0" w:color="auto"/>
              <w:bottom w:val="single" w:sz="8" w:space="0" w:color="auto"/>
              <w:right w:val="single" w:sz="8" w:space="0" w:color="auto"/>
            </w:tcBorders>
            <w:shd w:val="clear" w:color="000000" w:fill="F2F2F2"/>
            <w:vAlign w:val="center"/>
          </w:tcPr>
          <w:p w14:paraId="179AFB6F" w14:textId="74845DBF"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p>
        </w:tc>
        <w:tc>
          <w:tcPr>
            <w:tcW w:w="600" w:type="dxa"/>
            <w:tcBorders>
              <w:left w:val="single" w:sz="8" w:space="0" w:color="auto"/>
            </w:tcBorders>
            <w:shd w:val="clear" w:color="auto" w:fill="auto"/>
            <w:vAlign w:val="center"/>
          </w:tcPr>
          <w:p w14:paraId="2FAC9CA1" w14:textId="6B176CCE"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p>
        </w:tc>
      </w:tr>
      <w:tr w:rsidR="00603D1A" w:rsidRPr="00476FAD" w14:paraId="4646F9D1" w14:textId="77777777" w:rsidTr="00044970">
        <w:trPr>
          <w:gridAfter w:val="2"/>
          <w:wAfter w:w="2552" w:type="dxa"/>
          <w:trHeight w:val="51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BCEA8" w14:textId="77777777" w:rsidR="00603D1A" w:rsidRPr="006B5E06"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6B5E06">
              <w:rPr>
                <w:rFonts w:ascii="Times New Roman" w:eastAsia="Times New Roman" w:hAnsi="Times New Roman" w:cs="Times New Roman"/>
                <w:color w:val="000000"/>
                <w:sz w:val="20"/>
                <w:szCs w:val="20"/>
                <w:lang w:eastAsia="ru-RU"/>
              </w:rPr>
              <w:t>ГБОУ СПО «Ноябрьский колледж профессиональных и информационных технологий»</w:t>
            </w:r>
            <w:r w:rsidRPr="007C07A5">
              <w:rPr>
                <w:rFonts w:ascii="Times New Roman" w:eastAsia="Times New Roman" w:hAnsi="Times New Roman" w:cs="Times New Roman"/>
                <w:color w:val="000000"/>
                <w:sz w:val="20"/>
                <w:szCs w:val="20"/>
                <w:lang w:eastAsia="ru-RU"/>
              </w:rPr>
              <w:t xml:space="preserve"> ЯНАО</w:t>
            </w:r>
          </w:p>
          <w:p w14:paraId="360E9C16" w14:textId="47351177" w:rsidR="00603D1A" w:rsidRPr="00603D1A" w:rsidRDefault="00603D1A" w:rsidP="00603D1A">
            <w:pPr>
              <w:spacing w:after="0" w:line="240" w:lineRule="auto"/>
              <w:jc w:val="both"/>
              <w:rPr>
                <w:rFonts w:eastAsia="Times New Roman" w:cs="Calibri"/>
                <w:color w:val="000000"/>
                <w:sz w:val="20"/>
                <w:szCs w:val="20"/>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86BC66"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F68F0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DDA4162" w14:textId="7EBEDC22"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790B22D7" w14:textId="7B100B4B"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B4494EE" w14:textId="150D6166"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left w:val="single" w:sz="8" w:space="0" w:color="auto"/>
            </w:tcBorders>
            <w:shd w:val="clear" w:color="auto" w:fill="auto"/>
            <w:vAlign w:val="center"/>
          </w:tcPr>
          <w:p w14:paraId="51124DFE" w14:textId="7CB60B60"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3E490E68" w14:textId="77777777" w:rsidTr="00044970">
        <w:trPr>
          <w:gridAfter w:val="2"/>
          <w:wAfter w:w="2552" w:type="dxa"/>
          <w:trHeight w:val="51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BEA9A06" w14:textId="01AF9695" w:rsidR="00603D1A" w:rsidRPr="007C07A5" w:rsidRDefault="00603D1A" w:rsidP="00603D1A">
            <w:pPr>
              <w:spacing w:after="0" w:line="240" w:lineRule="auto"/>
              <w:jc w:val="both"/>
              <w:rPr>
                <w:rFonts w:ascii="Adobe Garamond Pro Bold" w:eastAsia="Times New Roman" w:hAnsi="Adobe Garamond Pro Bold" w:cs="Calibri"/>
                <w:color w:val="000000"/>
                <w:sz w:val="20"/>
                <w:szCs w:val="20"/>
                <w:lang w:eastAsia="ru-RU"/>
              </w:rPr>
            </w:pPr>
            <w:r w:rsidRPr="007C07A5">
              <w:rPr>
                <w:rFonts w:ascii="Times New Roman" w:eastAsia="Times New Roman" w:hAnsi="Times New Roman" w:cs="Times New Roman"/>
                <w:color w:val="000000"/>
                <w:sz w:val="20"/>
                <w:szCs w:val="20"/>
                <w:lang w:eastAsia="ru-RU"/>
              </w:rPr>
              <w:t>ГБОУ СПО "Ардонский аграрно-технологический колледж"</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2239C83"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B38409C"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08134D2F" w14:textId="318E41B2"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6784B380" w14:textId="397B107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8E734E0" w14:textId="3D4A75E6"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08E46D7D"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1BE31F7" w14:textId="77777777" w:rsidTr="00044970">
        <w:trPr>
          <w:gridAfter w:val="2"/>
          <w:wAfter w:w="2552" w:type="dxa"/>
          <w:trHeight w:val="51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13BA75E3" w14:textId="0837A059" w:rsidR="00603D1A" w:rsidRPr="007C07A5" w:rsidRDefault="00603D1A" w:rsidP="00603D1A">
            <w:pPr>
              <w:spacing w:after="0" w:line="240" w:lineRule="auto"/>
              <w:jc w:val="both"/>
              <w:rPr>
                <w:rFonts w:ascii="Adobe Garamond Pro Bold" w:eastAsia="Times New Roman" w:hAnsi="Adobe Garamond Pro Bold" w:cs="Calibri"/>
                <w:color w:val="000000"/>
                <w:sz w:val="20"/>
                <w:szCs w:val="20"/>
                <w:lang w:eastAsia="ru-RU"/>
              </w:rPr>
            </w:pPr>
            <w:r w:rsidRPr="007C07A5">
              <w:rPr>
                <w:rFonts w:ascii="Times New Roman" w:eastAsia="Times New Roman" w:hAnsi="Times New Roman" w:cs="Times New Roman"/>
                <w:color w:val="000000"/>
                <w:sz w:val="20"/>
                <w:szCs w:val="20"/>
                <w:lang w:eastAsia="ru-RU"/>
              </w:rPr>
              <w:t>ГАОУ СПО РО "Донской банковский техникум"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495197"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5ECBFCAC"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2A94533" w14:textId="4133BE62"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42D092E3" w14:textId="791B99ED"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69FF4BE" w14:textId="6499595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517CF48A"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95753D9"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388FB6C9" w14:textId="37F442A7" w:rsidR="00603D1A" w:rsidRPr="007C07A5" w:rsidRDefault="00603D1A" w:rsidP="00603D1A">
            <w:pPr>
              <w:spacing w:after="0" w:line="240" w:lineRule="auto"/>
              <w:jc w:val="both"/>
              <w:rPr>
                <w:rFonts w:eastAsia="Times New Roman" w:cs="Calibri"/>
                <w:color w:val="000000"/>
                <w:sz w:val="20"/>
                <w:szCs w:val="20"/>
                <w:lang w:eastAsia="ru-RU"/>
              </w:rPr>
            </w:pPr>
            <w:r w:rsidRPr="007C07A5">
              <w:rPr>
                <w:rFonts w:ascii="Times New Roman" w:eastAsia="Times New Roman" w:hAnsi="Times New Roman" w:cs="Times New Roman"/>
                <w:color w:val="000000"/>
                <w:sz w:val="20"/>
                <w:szCs w:val="20"/>
                <w:lang w:eastAsia="ru-RU"/>
              </w:rPr>
              <w:t>ГБОУ СПО г Москвы «Колледж сферы услуг № 10»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63FFA1"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4</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2352AFB0"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4</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62AB181" w14:textId="3D5E4705"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1EE86F0B" w14:textId="64D750CC"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5F8AFEB" w14:textId="334394FA"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4081A9AE" w14:textId="6EDF5B7B"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1D6AE1C0"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36388B4B" w14:textId="18E0DC2F"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ГБОУ СПО НСО «Новосибирский авиационный технический колледж»</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447F75"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8DA82B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41D5B72B" w14:textId="1FD9544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 xml:space="preserve">2 </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3EE0BCCB" w14:textId="51AD7C64"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4EB79F39" w14:textId="0ECC6A1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756421A0"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39C05767"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8634883" w14:textId="12B0A466"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ГБОУ СПО г Москвы «Технологический техникум № 49»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E18131"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1</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7D25DFBB"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1</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1050C36" w14:textId="0789F3EE"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9B23016" w14:textId="525F9EA4"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33EB85DF" w14:textId="51C5359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6D7B9998"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633BDFF7"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22E5D593" w14:textId="11863465"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ГАОУ СПО «Тюменский колледж транспорта»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63F22FF"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F2E6C20"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2F6D925" w14:textId="3955E7B9"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62F55241" w14:textId="2FA77E7F"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78618471" w14:textId="1EC8DB75"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5022D46B"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FFDA315"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0B0BF16F" w14:textId="39EA6775" w:rsidR="00603D1A" w:rsidRPr="007C07A5"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НОУ СПО «Экономический бизнес-колледж»</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439D59C"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19C4BAE9"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B432C13" w14:textId="47ACA341"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4AFEADEB" w14:textId="44FFDBA4"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762E21F" w14:textId="51045ACC"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17897942"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8ED1053" w14:textId="77777777" w:rsidTr="00044970">
        <w:trPr>
          <w:gridAfter w:val="2"/>
          <w:wAfter w:w="2552" w:type="dxa"/>
          <w:trHeight w:val="530"/>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tcPr>
          <w:p w14:paraId="106628C2" w14:textId="54DCFC23" w:rsidR="00603D1A" w:rsidRPr="00603D1A" w:rsidRDefault="00603D1A" w:rsidP="00603D1A">
            <w:pPr>
              <w:spacing w:after="0" w:line="240" w:lineRule="auto"/>
              <w:jc w:val="both"/>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lastRenderedPageBreak/>
              <w:t>ГБОУ СПО  ЯНАО «</w:t>
            </w:r>
            <w:r w:rsidRPr="007C07A5">
              <w:rPr>
                <w:rFonts w:ascii="Times New Roman" w:eastAsia="Times New Roman" w:hAnsi="Times New Roman" w:cs="Times New Roman"/>
                <w:bCs/>
                <w:color w:val="000000"/>
                <w:sz w:val="20"/>
                <w:szCs w:val="20"/>
                <w:lang w:eastAsia="ru-RU"/>
              </w:rPr>
              <w:t>Ямальский полярный агроэкономический техникум»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A3662EF"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537E371A" w14:textId="77777777" w:rsidR="00603D1A" w:rsidRPr="007C07A5" w:rsidRDefault="00603D1A" w:rsidP="00603D1A">
            <w:pPr>
              <w:spacing w:after="0" w:line="240" w:lineRule="auto"/>
              <w:jc w:val="center"/>
              <w:rPr>
                <w:rFonts w:ascii="Calibri" w:eastAsia="Times New Roman" w:hAnsi="Calibri" w:cs="Calibri"/>
                <w:color w:val="000000"/>
                <w:sz w:val="20"/>
                <w:szCs w:val="20"/>
                <w:lang w:eastAsia="ru-RU"/>
              </w:rPr>
            </w:pPr>
            <w:r w:rsidRPr="007C07A5">
              <w:rPr>
                <w:rFonts w:ascii="Calibri" w:eastAsia="Times New Roman" w:hAnsi="Calibri" w:cs="Calibri"/>
                <w:color w:val="000000"/>
                <w:sz w:val="20"/>
                <w:szCs w:val="20"/>
                <w:lang w:eastAsia="ru-RU"/>
              </w:rPr>
              <w:t>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2C14B6D7" w14:textId="2699F30E"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31B71A24" w14:textId="7B0E16B5"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7C07A5">
              <w:rPr>
                <w:rFonts w:ascii="Times New Roman" w:eastAsia="Times New Roman" w:hAnsi="Times New Roman" w:cs="Times New Roman"/>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5872AE38" w14:textId="65343F42"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c>
          <w:tcPr>
            <w:tcW w:w="600" w:type="dxa"/>
            <w:tcBorders>
              <w:top w:val="nil"/>
              <w:left w:val="single" w:sz="8" w:space="0" w:color="auto"/>
            </w:tcBorders>
            <w:shd w:val="clear" w:color="000000" w:fill="FFFFFF"/>
            <w:vAlign w:val="center"/>
          </w:tcPr>
          <w:p w14:paraId="42927DB3"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06EC6802" w14:textId="77777777" w:rsidTr="00044970">
        <w:trPr>
          <w:gridAfter w:val="2"/>
          <w:wAfter w:w="2552" w:type="dxa"/>
          <w:trHeight w:val="272"/>
        </w:trPr>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99800E5" w14:textId="6ABEB9AC" w:rsidR="00603D1A" w:rsidRPr="007C07A5" w:rsidRDefault="00603D1A" w:rsidP="00603D1A">
            <w:pPr>
              <w:spacing w:after="0" w:line="240" w:lineRule="auto"/>
              <w:jc w:val="right"/>
              <w:rPr>
                <w:rFonts w:ascii="Adobe Garamond Pro Bold" w:eastAsia="Times New Roman" w:hAnsi="Adobe Garamond Pro Bold" w:cs="Calibri"/>
                <w:color w:val="000000"/>
                <w:sz w:val="20"/>
                <w:szCs w:val="20"/>
                <w:lang w:eastAsia="ru-RU"/>
              </w:rPr>
            </w:pPr>
            <w:r w:rsidRPr="007C07A5">
              <w:rPr>
                <w:rFonts w:ascii="Times New Roman" w:eastAsia="Times New Roman" w:hAnsi="Times New Roman" w:cs="Times New Roman"/>
                <w:b/>
                <w:bCs/>
                <w:color w:val="000000"/>
                <w:sz w:val="20"/>
                <w:szCs w:val="20"/>
                <w:lang w:eastAsia="ru-RU"/>
              </w:rPr>
              <w:t>ИТОГО</w:t>
            </w:r>
            <w:r w:rsidRPr="007C07A5">
              <w:rPr>
                <w:rFonts w:ascii="Adobe Garamond Pro Bold" w:eastAsia="Times New Roman" w:hAnsi="Adobe Garamond Pro Bold" w:cs="Calibri"/>
                <w:b/>
                <w:bCs/>
                <w:color w:val="000000"/>
                <w:sz w:val="20"/>
                <w:szCs w:val="20"/>
                <w:lang w:eastAsia="ru-RU"/>
              </w:rPr>
              <w:t>:</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670245" w14:textId="77777777" w:rsidR="00603D1A" w:rsidRPr="007C07A5" w:rsidRDefault="00603D1A" w:rsidP="00603D1A">
            <w:pPr>
              <w:spacing w:after="0" w:line="240" w:lineRule="auto"/>
              <w:jc w:val="center"/>
              <w:rPr>
                <w:rFonts w:ascii="Calibri" w:eastAsia="Times New Roman" w:hAnsi="Calibri" w:cs="Calibri"/>
                <w:b/>
                <w:color w:val="000000"/>
                <w:sz w:val="20"/>
                <w:szCs w:val="20"/>
                <w:lang w:eastAsia="ru-RU"/>
              </w:rPr>
            </w:pPr>
            <w:r w:rsidRPr="007C07A5">
              <w:rPr>
                <w:rFonts w:ascii="Calibri" w:eastAsia="Times New Roman" w:hAnsi="Calibri" w:cs="Calibri"/>
                <w:b/>
                <w:color w:val="000000"/>
                <w:sz w:val="20"/>
                <w:szCs w:val="20"/>
                <w:lang w:eastAsia="ru-RU"/>
              </w:rPr>
              <w:t>18</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CEE9EF" w14:textId="77777777" w:rsidR="00603D1A" w:rsidRPr="007C07A5" w:rsidRDefault="00603D1A" w:rsidP="00603D1A">
            <w:pPr>
              <w:spacing w:after="0" w:line="240" w:lineRule="auto"/>
              <w:jc w:val="center"/>
              <w:rPr>
                <w:rFonts w:ascii="Calibri" w:eastAsia="Times New Roman" w:hAnsi="Calibri" w:cs="Calibri"/>
                <w:b/>
                <w:color w:val="000000"/>
                <w:sz w:val="20"/>
                <w:szCs w:val="20"/>
                <w:lang w:eastAsia="ru-RU"/>
              </w:rPr>
            </w:pPr>
            <w:r w:rsidRPr="007C07A5">
              <w:rPr>
                <w:rFonts w:ascii="Calibri" w:eastAsia="Times New Roman" w:hAnsi="Calibri" w:cs="Calibri"/>
                <w:b/>
                <w:color w:val="000000"/>
                <w:sz w:val="20"/>
                <w:szCs w:val="20"/>
                <w:lang w:eastAsia="ru-RU"/>
              </w:rPr>
              <w:t>17</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F139A2" w14:textId="668A078D"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p>
        </w:tc>
        <w:tc>
          <w:tcPr>
            <w:tcW w:w="95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3CE474" w14:textId="58509858"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r w:rsidRPr="007C07A5">
              <w:rPr>
                <w:rFonts w:ascii="Times New Roman" w:eastAsia="Times New Roman" w:hAnsi="Times New Roman" w:cs="Times New Roman"/>
                <w:b/>
                <w:color w:val="000000"/>
                <w:sz w:val="20"/>
                <w:szCs w:val="20"/>
                <w:lang w:eastAsia="ru-RU"/>
              </w:rPr>
              <w:t>0</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D14FF7E" w14:textId="5D867244" w:rsidR="00603D1A" w:rsidRPr="007C07A5" w:rsidRDefault="00603D1A" w:rsidP="00603D1A">
            <w:pPr>
              <w:spacing w:after="0" w:line="240" w:lineRule="auto"/>
              <w:jc w:val="center"/>
              <w:rPr>
                <w:rFonts w:ascii="Times New Roman" w:eastAsia="Times New Roman" w:hAnsi="Times New Roman" w:cs="Times New Roman"/>
                <w:b/>
                <w:color w:val="000000"/>
                <w:sz w:val="20"/>
                <w:szCs w:val="20"/>
                <w:lang w:eastAsia="ru-RU"/>
              </w:rPr>
            </w:pPr>
          </w:p>
        </w:tc>
        <w:tc>
          <w:tcPr>
            <w:tcW w:w="600" w:type="dxa"/>
            <w:tcBorders>
              <w:top w:val="nil"/>
              <w:left w:val="single" w:sz="8" w:space="0" w:color="auto"/>
            </w:tcBorders>
            <w:shd w:val="clear" w:color="auto" w:fill="auto"/>
            <w:vAlign w:val="center"/>
          </w:tcPr>
          <w:p w14:paraId="099A7E50" w14:textId="77777777" w:rsidR="00603D1A" w:rsidRPr="007C07A5"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42599C6F" w14:textId="77777777" w:rsidTr="00044970">
        <w:trPr>
          <w:gridAfter w:val="2"/>
          <w:wAfter w:w="2552" w:type="dxa"/>
          <w:trHeight w:val="28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EB6E5" w14:textId="5AF04EE8" w:rsidR="00603D1A" w:rsidRPr="00476FAD" w:rsidRDefault="00603D1A" w:rsidP="00603D1A">
            <w:pPr>
              <w:spacing w:after="0" w:line="240" w:lineRule="auto"/>
              <w:jc w:val="right"/>
              <w:rPr>
                <w:rFonts w:ascii="Adobe Garamond Pro Bold" w:eastAsia="Times New Roman" w:hAnsi="Adobe Garamond Pro Bold" w:cs="Calibri"/>
                <w:b/>
                <w:bCs/>
                <w:color w:val="000000"/>
                <w:sz w:val="20"/>
                <w:szCs w:val="20"/>
                <w:lang w:eastAsia="ru-RU"/>
              </w:rPr>
            </w:pPr>
            <w:r>
              <w:rPr>
                <w:rFonts w:ascii="Times New Roman" w:eastAsia="Times New Roman" w:hAnsi="Times New Roman" w:cs="Times New Roman"/>
                <w:b/>
                <w:bCs/>
                <w:color w:val="000000"/>
                <w:sz w:val="20"/>
                <w:szCs w:val="20"/>
                <w:lang w:eastAsia="ru-RU"/>
              </w:rPr>
              <w:t>ВСЕГ</w:t>
            </w:r>
            <w:r w:rsidRPr="00476FAD">
              <w:rPr>
                <w:rFonts w:ascii="Times New Roman" w:eastAsia="Times New Roman" w:hAnsi="Times New Roman" w:cs="Times New Roman"/>
                <w:b/>
                <w:bCs/>
                <w:color w:val="000000"/>
                <w:sz w:val="20"/>
                <w:szCs w:val="20"/>
                <w:lang w:eastAsia="ru-RU"/>
              </w:rPr>
              <w:t>О</w:t>
            </w:r>
            <w:r w:rsidRPr="00476FAD">
              <w:rPr>
                <w:rFonts w:ascii="Adobe Garamond Pro Bold" w:eastAsia="Times New Roman" w:hAnsi="Adobe Garamond Pro Bold" w:cs="Calibri"/>
                <w:b/>
                <w:bCs/>
                <w:color w:val="000000"/>
                <w:sz w:val="20"/>
                <w:szCs w:val="20"/>
                <w:lang w:eastAsia="ru-RU"/>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9B426F"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r>
              <w:rPr>
                <w:rFonts w:ascii="Calibri" w:eastAsia="Times New Roman" w:hAnsi="Calibri" w:cs="Calibri"/>
                <w:b/>
                <w:bCs/>
                <w:color w:val="000000"/>
                <w:sz w:val="20"/>
                <w:szCs w:val="20"/>
                <w:lang w:eastAsia="ru-RU"/>
              </w:rPr>
              <w:t>82</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5094F5"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r>
              <w:rPr>
                <w:rFonts w:ascii="Calibri" w:eastAsia="Times New Roman" w:hAnsi="Calibri" w:cs="Calibri"/>
                <w:b/>
                <w:bCs/>
                <w:color w:val="000000"/>
                <w:sz w:val="20"/>
                <w:szCs w:val="20"/>
                <w:lang w:eastAsia="ru-RU"/>
              </w:rPr>
              <w:t>62</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6B6F65C6" w14:textId="26F145EE"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w:t>
            </w: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tcPr>
          <w:p w14:paraId="2BA056EA" w14:textId="11148CC3"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41331DC2" w14:textId="42B6FFC1"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p>
        </w:tc>
        <w:tc>
          <w:tcPr>
            <w:tcW w:w="600" w:type="dxa"/>
            <w:tcBorders>
              <w:left w:val="single" w:sz="8" w:space="0" w:color="auto"/>
            </w:tcBorders>
            <w:shd w:val="clear" w:color="auto" w:fill="auto"/>
            <w:vAlign w:val="center"/>
          </w:tcPr>
          <w:p w14:paraId="610971A4" w14:textId="09C57666"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5A10AF95" w14:textId="77777777" w:rsidTr="00044970">
        <w:trPr>
          <w:gridAfter w:val="2"/>
          <w:wAfter w:w="2552" w:type="dxa"/>
          <w:trHeight w:val="28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331D5" w14:textId="6E6D6B48" w:rsidR="00603D1A" w:rsidRPr="00476FAD" w:rsidRDefault="00603D1A" w:rsidP="00603D1A">
            <w:pPr>
              <w:spacing w:after="0" w:line="240" w:lineRule="auto"/>
              <w:jc w:val="right"/>
              <w:rPr>
                <w:rFonts w:ascii="Adobe Garamond Pro Bold" w:eastAsia="Times New Roman" w:hAnsi="Adobe Garamond Pro Bold" w:cs="Calibri"/>
                <w:b/>
                <w:bCs/>
                <w:color w:val="000000"/>
                <w:sz w:val="20"/>
                <w:szCs w:val="20"/>
                <w:lang w:eastAsia="ru-RU"/>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2B743E"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1773BF"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tcPr>
          <w:p w14:paraId="17C055A8" w14:textId="67ACE927" w:rsidR="00603D1A" w:rsidRPr="00476FAD" w:rsidRDefault="00603D1A" w:rsidP="00603D1A">
            <w:pPr>
              <w:spacing w:after="0" w:line="240" w:lineRule="auto"/>
              <w:rPr>
                <w:rFonts w:ascii="Times New Roman" w:eastAsia="Times New Roman" w:hAnsi="Times New Roman" w:cs="Times New Roman"/>
                <w:b/>
                <w:bCs/>
                <w:color w:val="000000"/>
                <w:sz w:val="20"/>
                <w:szCs w:val="20"/>
                <w:lang w:eastAsia="ru-RU"/>
              </w:rPr>
            </w:pPr>
          </w:p>
        </w:tc>
        <w:tc>
          <w:tcPr>
            <w:tcW w:w="95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8A2DDC1"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127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B221925"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600" w:type="dxa"/>
            <w:tcBorders>
              <w:left w:val="single" w:sz="8" w:space="0" w:color="auto"/>
              <w:bottom w:val="nil"/>
              <w:right w:val="nil"/>
            </w:tcBorders>
            <w:shd w:val="clear" w:color="auto" w:fill="auto"/>
            <w:vAlign w:val="center"/>
            <w:hideMark/>
          </w:tcPr>
          <w:p w14:paraId="562B66B9" w14:textId="77777777"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421021" w:rsidRPr="00476FAD" w14:paraId="01F451E7" w14:textId="77777777" w:rsidTr="00044970">
        <w:trPr>
          <w:gridAfter w:val="2"/>
          <w:wAfter w:w="2552" w:type="dxa"/>
          <w:trHeight w:val="285"/>
        </w:trPr>
        <w:tc>
          <w:tcPr>
            <w:tcW w:w="3545" w:type="dxa"/>
            <w:tcBorders>
              <w:top w:val="single" w:sz="8" w:space="0" w:color="auto"/>
              <w:right w:val="nil"/>
            </w:tcBorders>
            <w:shd w:val="clear" w:color="auto" w:fill="auto"/>
            <w:vAlign w:val="center"/>
          </w:tcPr>
          <w:p w14:paraId="4D2CC1F1" w14:textId="77777777" w:rsidR="00421021" w:rsidRPr="00476FAD" w:rsidRDefault="00421021" w:rsidP="00421021">
            <w:pPr>
              <w:spacing w:after="0" w:line="240" w:lineRule="auto"/>
              <w:jc w:val="right"/>
              <w:rPr>
                <w:rFonts w:ascii="Adobe Garamond Pro Bold" w:eastAsia="Times New Roman" w:hAnsi="Adobe Garamond Pro Bold" w:cs="Calibri"/>
                <w:b/>
                <w:bCs/>
                <w:color w:val="000000"/>
                <w:sz w:val="20"/>
                <w:szCs w:val="20"/>
                <w:lang w:eastAsia="ru-RU"/>
              </w:rPr>
            </w:pPr>
          </w:p>
        </w:tc>
        <w:tc>
          <w:tcPr>
            <w:tcW w:w="1134" w:type="dxa"/>
            <w:tcBorders>
              <w:top w:val="single" w:sz="8" w:space="0" w:color="auto"/>
              <w:left w:val="nil"/>
              <w:right w:val="nil"/>
            </w:tcBorders>
            <w:shd w:val="clear" w:color="auto" w:fill="auto"/>
            <w:vAlign w:val="center"/>
          </w:tcPr>
          <w:p w14:paraId="49191A16" w14:textId="77777777" w:rsidR="00421021" w:rsidRPr="00476FAD" w:rsidRDefault="00421021" w:rsidP="00421021">
            <w:pPr>
              <w:spacing w:after="0" w:line="240" w:lineRule="auto"/>
              <w:jc w:val="center"/>
              <w:rPr>
                <w:rFonts w:ascii="Calibri" w:eastAsia="Times New Roman" w:hAnsi="Calibri" w:cs="Calibri"/>
                <w:b/>
                <w:bCs/>
                <w:color w:val="000000"/>
                <w:sz w:val="20"/>
                <w:szCs w:val="20"/>
                <w:lang w:eastAsia="ru-RU"/>
              </w:rPr>
            </w:pPr>
          </w:p>
        </w:tc>
        <w:tc>
          <w:tcPr>
            <w:tcW w:w="1275" w:type="dxa"/>
            <w:tcBorders>
              <w:top w:val="single" w:sz="8" w:space="0" w:color="auto"/>
              <w:left w:val="nil"/>
              <w:bottom w:val="nil"/>
              <w:right w:val="nil"/>
            </w:tcBorders>
            <w:shd w:val="clear" w:color="auto" w:fill="auto"/>
            <w:vAlign w:val="center"/>
          </w:tcPr>
          <w:p w14:paraId="630A882B" w14:textId="77777777" w:rsidR="00421021" w:rsidRPr="00476FAD" w:rsidRDefault="00421021" w:rsidP="00421021">
            <w:pPr>
              <w:spacing w:after="0" w:line="240" w:lineRule="auto"/>
              <w:jc w:val="center"/>
              <w:rPr>
                <w:rFonts w:ascii="Calibri" w:eastAsia="Times New Roman" w:hAnsi="Calibri" w:cs="Calibri"/>
                <w:b/>
                <w:bCs/>
                <w:color w:val="000000"/>
                <w:sz w:val="20"/>
                <w:szCs w:val="20"/>
                <w:lang w:eastAsia="ru-RU"/>
              </w:rPr>
            </w:pPr>
          </w:p>
        </w:tc>
        <w:tc>
          <w:tcPr>
            <w:tcW w:w="1276" w:type="dxa"/>
            <w:tcBorders>
              <w:top w:val="single" w:sz="8" w:space="0" w:color="auto"/>
              <w:left w:val="nil"/>
              <w:bottom w:val="nil"/>
              <w:right w:val="nil"/>
            </w:tcBorders>
            <w:shd w:val="clear" w:color="000000" w:fill="FFFFFF"/>
            <w:vAlign w:val="center"/>
          </w:tcPr>
          <w:p w14:paraId="2616D315" w14:textId="77777777" w:rsidR="00421021" w:rsidRPr="00476FAD" w:rsidRDefault="00421021" w:rsidP="00421021">
            <w:pPr>
              <w:spacing w:after="0" w:line="240" w:lineRule="auto"/>
              <w:rPr>
                <w:rFonts w:ascii="Times New Roman" w:eastAsia="Times New Roman" w:hAnsi="Times New Roman" w:cs="Times New Roman"/>
                <w:b/>
                <w:bCs/>
                <w:color w:val="000000"/>
                <w:sz w:val="20"/>
                <w:szCs w:val="20"/>
                <w:lang w:eastAsia="ru-RU"/>
              </w:rPr>
            </w:pPr>
          </w:p>
        </w:tc>
        <w:tc>
          <w:tcPr>
            <w:tcW w:w="958" w:type="dxa"/>
            <w:tcBorders>
              <w:top w:val="single" w:sz="8" w:space="0" w:color="auto"/>
              <w:left w:val="nil"/>
              <w:bottom w:val="nil"/>
              <w:right w:val="nil"/>
            </w:tcBorders>
            <w:shd w:val="clear" w:color="000000" w:fill="FFFFFF"/>
            <w:vAlign w:val="center"/>
          </w:tcPr>
          <w:p w14:paraId="54AC90F6"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8" w:space="0" w:color="auto"/>
              <w:left w:val="nil"/>
              <w:bottom w:val="nil"/>
              <w:right w:val="nil"/>
            </w:tcBorders>
            <w:shd w:val="clear" w:color="000000" w:fill="FFFFFF"/>
            <w:vAlign w:val="center"/>
          </w:tcPr>
          <w:p w14:paraId="7B422061"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600" w:type="dxa"/>
            <w:tcBorders>
              <w:left w:val="nil"/>
              <w:bottom w:val="nil"/>
              <w:right w:val="nil"/>
            </w:tcBorders>
            <w:shd w:val="clear" w:color="auto" w:fill="auto"/>
            <w:vAlign w:val="center"/>
          </w:tcPr>
          <w:p w14:paraId="32E12279" w14:textId="77777777" w:rsidR="00421021" w:rsidRPr="00476FAD" w:rsidRDefault="00421021" w:rsidP="00421021">
            <w:pPr>
              <w:spacing w:after="0" w:line="240" w:lineRule="auto"/>
              <w:jc w:val="center"/>
              <w:rPr>
                <w:rFonts w:ascii="Times New Roman" w:eastAsia="Times New Roman" w:hAnsi="Times New Roman" w:cs="Times New Roman"/>
                <w:color w:val="000000"/>
                <w:sz w:val="20"/>
                <w:szCs w:val="20"/>
                <w:lang w:eastAsia="ru-RU"/>
              </w:rPr>
            </w:pPr>
          </w:p>
        </w:tc>
      </w:tr>
      <w:tr w:rsidR="00421021" w:rsidRPr="00476FAD" w14:paraId="270ED267" w14:textId="77777777" w:rsidTr="00044970">
        <w:trPr>
          <w:gridAfter w:val="2"/>
          <w:wAfter w:w="2552" w:type="dxa"/>
          <w:trHeight w:val="285"/>
        </w:trPr>
        <w:tc>
          <w:tcPr>
            <w:tcW w:w="3545" w:type="dxa"/>
            <w:tcBorders>
              <w:top w:val="nil"/>
              <w:bottom w:val="single" w:sz="8" w:space="0" w:color="auto"/>
              <w:right w:val="nil"/>
            </w:tcBorders>
            <w:shd w:val="clear" w:color="auto" w:fill="auto"/>
            <w:vAlign w:val="center"/>
          </w:tcPr>
          <w:p w14:paraId="14F6CB82" w14:textId="77777777" w:rsidR="00421021" w:rsidRPr="00476FAD" w:rsidRDefault="00421021" w:rsidP="00421021">
            <w:pPr>
              <w:spacing w:after="0" w:line="240" w:lineRule="auto"/>
              <w:jc w:val="right"/>
              <w:rPr>
                <w:rFonts w:ascii="Adobe Garamond Pro Bold" w:eastAsia="Times New Roman" w:hAnsi="Adobe Garamond Pro Bold" w:cs="Calibri"/>
                <w:b/>
                <w:bCs/>
                <w:color w:val="000000"/>
                <w:sz w:val="20"/>
                <w:szCs w:val="20"/>
                <w:lang w:eastAsia="ru-RU"/>
              </w:rPr>
            </w:pPr>
          </w:p>
        </w:tc>
        <w:tc>
          <w:tcPr>
            <w:tcW w:w="1134" w:type="dxa"/>
            <w:tcBorders>
              <w:top w:val="nil"/>
              <w:left w:val="nil"/>
              <w:bottom w:val="single" w:sz="8" w:space="0" w:color="auto"/>
              <w:right w:val="nil"/>
            </w:tcBorders>
            <w:shd w:val="clear" w:color="auto" w:fill="auto"/>
            <w:vAlign w:val="center"/>
          </w:tcPr>
          <w:p w14:paraId="5AEA03BB" w14:textId="77777777" w:rsidR="00421021" w:rsidRPr="00476FAD" w:rsidRDefault="00421021" w:rsidP="00421021">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nil"/>
              <w:right w:val="nil"/>
            </w:tcBorders>
            <w:shd w:val="clear" w:color="auto" w:fill="auto"/>
            <w:vAlign w:val="center"/>
          </w:tcPr>
          <w:p w14:paraId="5E9E150B" w14:textId="77777777" w:rsidR="00421021" w:rsidRPr="00476FAD" w:rsidRDefault="00421021" w:rsidP="00421021">
            <w:pPr>
              <w:spacing w:after="0" w:line="240" w:lineRule="auto"/>
              <w:jc w:val="center"/>
              <w:rPr>
                <w:rFonts w:ascii="Calibri" w:eastAsia="Times New Roman" w:hAnsi="Calibri" w:cs="Calibri"/>
                <w:b/>
                <w:bCs/>
                <w:color w:val="000000"/>
                <w:sz w:val="20"/>
                <w:szCs w:val="20"/>
                <w:lang w:eastAsia="ru-RU"/>
              </w:rPr>
            </w:pPr>
          </w:p>
        </w:tc>
        <w:tc>
          <w:tcPr>
            <w:tcW w:w="1276" w:type="dxa"/>
            <w:tcBorders>
              <w:top w:val="nil"/>
              <w:left w:val="nil"/>
              <w:bottom w:val="single" w:sz="8" w:space="0" w:color="auto"/>
              <w:right w:val="nil"/>
            </w:tcBorders>
            <w:shd w:val="clear" w:color="000000" w:fill="FFFFFF"/>
            <w:vAlign w:val="center"/>
          </w:tcPr>
          <w:p w14:paraId="719A275A" w14:textId="77777777" w:rsidR="00421021" w:rsidRPr="00476FAD" w:rsidRDefault="00421021" w:rsidP="00421021">
            <w:pPr>
              <w:spacing w:after="0" w:line="240" w:lineRule="auto"/>
              <w:rPr>
                <w:rFonts w:ascii="Times New Roman" w:eastAsia="Times New Roman" w:hAnsi="Times New Roman" w:cs="Times New Roman"/>
                <w:b/>
                <w:bCs/>
                <w:color w:val="000000"/>
                <w:sz w:val="20"/>
                <w:szCs w:val="20"/>
                <w:lang w:eastAsia="ru-RU"/>
              </w:rPr>
            </w:pPr>
          </w:p>
        </w:tc>
        <w:tc>
          <w:tcPr>
            <w:tcW w:w="958" w:type="dxa"/>
            <w:tcBorders>
              <w:top w:val="nil"/>
              <w:left w:val="nil"/>
              <w:bottom w:val="single" w:sz="8" w:space="0" w:color="auto"/>
              <w:right w:val="nil"/>
            </w:tcBorders>
            <w:shd w:val="clear" w:color="000000" w:fill="FFFFFF"/>
            <w:vAlign w:val="center"/>
          </w:tcPr>
          <w:p w14:paraId="41E4982A"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8" w:space="0" w:color="auto"/>
              <w:right w:val="nil"/>
            </w:tcBorders>
            <w:shd w:val="clear" w:color="000000" w:fill="FFFFFF"/>
            <w:vAlign w:val="center"/>
          </w:tcPr>
          <w:p w14:paraId="79AE4F75"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600" w:type="dxa"/>
            <w:tcBorders>
              <w:top w:val="nil"/>
              <w:left w:val="nil"/>
              <w:bottom w:val="single" w:sz="8" w:space="0" w:color="auto"/>
              <w:right w:val="nil"/>
            </w:tcBorders>
            <w:shd w:val="clear" w:color="000000" w:fill="FFFFFF"/>
            <w:vAlign w:val="center"/>
          </w:tcPr>
          <w:p w14:paraId="2F2B314B" w14:textId="77777777" w:rsidR="00421021" w:rsidRPr="00476FAD" w:rsidRDefault="00421021" w:rsidP="00421021">
            <w:pPr>
              <w:spacing w:after="0" w:line="240" w:lineRule="auto"/>
              <w:jc w:val="center"/>
              <w:rPr>
                <w:rFonts w:ascii="Times New Roman" w:eastAsia="Times New Roman" w:hAnsi="Times New Roman" w:cs="Times New Roman"/>
                <w:color w:val="000000"/>
                <w:sz w:val="20"/>
                <w:szCs w:val="20"/>
                <w:lang w:eastAsia="ru-RU"/>
              </w:rPr>
            </w:pPr>
          </w:p>
        </w:tc>
      </w:tr>
      <w:tr w:rsidR="00603D1A" w:rsidRPr="00476FAD" w14:paraId="1778C40A" w14:textId="77777777" w:rsidTr="00044970">
        <w:trPr>
          <w:gridAfter w:val="2"/>
          <w:wAfter w:w="2552"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AA902E" w14:textId="43AA7CE5" w:rsidR="00603D1A" w:rsidRPr="00476FAD" w:rsidRDefault="00603D1A" w:rsidP="00603D1A">
            <w:pPr>
              <w:spacing w:after="0" w:line="240" w:lineRule="auto"/>
              <w:jc w:val="right"/>
              <w:rPr>
                <w:rFonts w:ascii="Adobe Garamond Pro Bold" w:eastAsia="Times New Roman" w:hAnsi="Adobe Garamond Pro Bold" w:cs="Calibri"/>
                <w:b/>
                <w:bCs/>
                <w:color w:val="000000"/>
                <w:sz w:val="20"/>
                <w:szCs w:val="20"/>
                <w:lang w:eastAsia="ru-RU"/>
              </w:rPr>
            </w:pPr>
            <w:r w:rsidRPr="00476FAD">
              <w:rPr>
                <w:rFonts w:ascii="Times New Roman" w:eastAsia="Times New Roman" w:hAnsi="Times New Roman" w:cs="Times New Roman"/>
                <w:b/>
                <w:bCs/>
                <w:color w:val="000000"/>
                <w:sz w:val="20"/>
                <w:szCs w:val="20"/>
                <w:lang w:eastAsia="ru-RU"/>
              </w:rPr>
              <w:t>ВУЗЫ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A41F3" w14:textId="77777777" w:rsidR="00603D1A" w:rsidRPr="00476FAD" w:rsidRDefault="00603D1A" w:rsidP="00603D1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275" w:type="dxa"/>
            <w:tcBorders>
              <w:top w:val="nil"/>
              <w:left w:val="single" w:sz="8" w:space="0" w:color="auto"/>
              <w:bottom w:val="nil"/>
              <w:right w:val="nil"/>
            </w:tcBorders>
            <w:shd w:val="clear" w:color="auto" w:fill="auto"/>
            <w:vAlign w:val="center"/>
            <w:hideMark/>
          </w:tcPr>
          <w:p w14:paraId="3770F041"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nil"/>
            </w:tcBorders>
            <w:shd w:val="clear" w:color="000000" w:fill="FFFFFF"/>
            <w:vAlign w:val="center"/>
            <w:hideMark/>
          </w:tcPr>
          <w:p w14:paraId="02BDB387" w14:textId="19E94D82" w:rsidR="00603D1A" w:rsidRPr="00476FAD" w:rsidRDefault="00603D1A" w:rsidP="00603D1A">
            <w:pPr>
              <w:spacing w:after="0" w:line="240" w:lineRule="auto"/>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География проектов</w:t>
            </w:r>
          </w:p>
        </w:tc>
        <w:tc>
          <w:tcPr>
            <w:tcW w:w="1876"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429CE137" w14:textId="47C0FE65" w:rsidR="00603D1A" w:rsidRPr="00476FAD" w:rsidRDefault="00603D1A" w:rsidP="00603D1A">
            <w:pPr>
              <w:spacing w:after="0" w:line="240" w:lineRule="auto"/>
              <w:jc w:val="center"/>
              <w:rPr>
                <w:rFonts w:ascii="Modern No. 20" w:eastAsia="Times New Roman" w:hAnsi="Modern No. 20" w:cs="Calibri"/>
                <w:b/>
                <w:bCs/>
                <w:color w:val="000000"/>
                <w:sz w:val="20"/>
                <w:szCs w:val="20"/>
                <w:lang w:eastAsia="ru-RU"/>
              </w:rPr>
            </w:pPr>
            <w:r>
              <w:rPr>
                <w:rFonts w:ascii="Times New Roman" w:eastAsia="Times New Roman" w:hAnsi="Times New Roman" w:cs="Times New Roman"/>
                <w:b/>
                <w:bCs/>
                <w:color w:val="000000"/>
                <w:sz w:val="20"/>
                <w:szCs w:val="20"/>
                <w:lang w:eastAsia="ru-RU"/>
              </w:rPr>
              <w:t>К</w:t>
            </w:r>
            <w:r w:rsidRPr="00476FAD">
              <w:rPr>
                <w:rFonts w:ascii="Times New Roman" w:eastAsia="Times New Roman" w:hAnsi="Times New Roman" w:cs="Times New Roman"/>
                <w:b/>
                <w:bCs/>
                <w:color w:val="000000"/>
                <w:sz w:val="20"/>
                <w:szCs w:val="20"/>
                <w:lang w:eastAsia="ru-RU"/>
              </w:rPr>
              <w:t>ол</w:t>
            </w:r>
            <w:r w:rsidRPr="00476FAD">
              <w:rPr>
                <w:rFonts w:ascii="Modern No. 20" w:eastAsia="Times New Roman" w:hAnsi="Modern No. 20" w:cs="Modern No. 20"/>
                <w:b/>
                <w:bCs/>
                <w:color w:val="000000"/>
                <w:sz w:val="20"/>
                <w:szCs w:val="20"/>
                <w:lang w:eastAsia="ru-RU"/>
              </w:rPr>
              <w:t>-</w:t>
            </w:r>
            <w:r w:rsidRPr="00476FAD">
              <w:rPr>
                <w:rFonts w:ascii="Times New Roman" w:eastAsia="Times New Roman" w:hAnsi="Times New Roman" w:cs="Times New Roman"/>
                <w:b/>
                <w:bCs/>
                <w:color w:val="000000"/>
                <w:sz w:val="20"/>
                <w:szCs w:val="20"/>
                <w:lang w:eastAsia="ru-RU"/>
              </w:rPr>
              <w:t>во</w:t>
            </w:r>
            <w:r w:rsidRPr="00476FAD">
              <w:rPr>
                <w:rFonts w:ascii="Modern No. 20" w:eastAsia="Times New Roman" w:hAnsi="Modern No. 20" w:cs="Modern No. 20"/>
                <w:b/>
                <w:bCs/>
                <w:color w:val="000000"/>
                <w:sz w:val="20"/>
                <w:szCs w:val="20"/>
                <w:lang w:eastAsia="ru-RU"/>
              </w:rPr>
              <w:t xml:space="preserve"> </w:t>
            </w:r>
            <w:r w:rsidRPr="00476FAD">
              <w:rPr>
                <w:rFonts w:ascii="Times New Roman" w:eastAsia="Times New Roman" w:hAnsi="Times New Roman" w:cs="Times New Roman"/>
                <w:b/>
                <w:bCs/>
                <w:color w:val="000000"/>
                <w:sz w:val="20"/>
                <w:szCs w:val="20"/>
                <w:lang w:eastAsia="ru-RU"/>
              </w:rPr>
              <w:t>ОО</w:t>
            </w:r>
          </w:p>
        </w:tc>
      </w:tr>
      <w:tr w:rsidR="00603D1A" w:rsidRPr="00476FAD" w14:paraId="2D1E8A6F" w14:textId="77777777" w:rsidTr="00044970">
        <w:trPr>
          <w:gridAfter w:val="2"/>
          <w:wAfter w:w="2552"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0581F0" w14:textId="7CE8EBDC" w:rsidR="00603D1A" w:rsidRPr="00476FAD" w:rsidRDefault="00603D1A" w:rsidP="00603D1A">
            <w:pPr>
              <w:spacing w:after="0" w:line="240" w:lineRule="auto"/>
              <w:jc w:val="right"/>
              <w:rPr>
                <w:rFonts w:ascii="Adobe Garamond Pro Bold" w:eastAsia="Times New Roman" w:hAnsi="Adobe Garamond Pro Bold" w:cs="Calibri"/>
                <w:b/>
                <w:bCs/>
                <w:color w:val="000000"/>
                <w:sz w:val="20"/>
                <w:szCs w:val="20"/>
                <w:lang w:eastAsia="ru-RU"/>
              </w:rPr>
            </w:pPr>
            <w:r w:rsidRPr="00476FAD">
              <w:rPr>
                <w:rFonts w:ascii="Times New Roman" w:eastAsia="Times New Roman" w:hAnsi="Times New Roman" w:cs="Times New Roman"/>
                <w:b/>
                <w:bCs/>
                <w:color w:val="000000"/>
                <w:sz w:val="20"/>
                <w:szCs w:val="20"/>
                <w:lang w:eastAsia="ru-RU"/>
              </w:rPr>
              <w:t>КОЛЛЕДЖИ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56808B" w14:textId="77777777" w:rsidR="00603D1A" w:rsidRPr="00476FAD" w:rsidRDefault="00603D1A" w:rsidP="00603D1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w:t>
            </w:r>
          </w:p>
        </w:tc>
        <w:tc>
          <w:tcPr>
            <w:tcW w:w="1275" w:type="dxa"/>
            <w:tcBorders>
              <w:top w:val="nil"/>
              <w:left w:val="single" w:sz="8" w:space="0" w:color="auto"/>
              <w:bottom w:val="nil"/>
              <w:right w:val="nil"/>
            </w:tcBorders>
            <w:shd w:val="clear" w:color="auto" w:fill="auto"/>
            <w:vAlign w:val="center"/>
            <w:hideMark/>
          </w:tcPr>
          <w:p w14:paraId="4E8E42B7"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42A247BD" w14:textId="3375B118"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Центральный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66A6EEA8"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361989">
              <w:rPr>
                <w:rFonts w:ascii="Times New Roman" w:eastAsia="Times New Roman" w:hAnsi="Times New Roman" w:cs="Times New Roman"/>
                <w:color w:val="000000"/>
                <w:sz w:val="20"/>
                <w:szCs w:val="20"/>
                <w:lang w:eastAsia="ru-RU"/>
              </w:rPr>
              <w:t>8</w:t>
            </w:r>
          </w:p>
        </w:tc>
      </w:tr>
      <w:tr w:rsidR="00603D1A" w:rsidRPr="00476FAD" w14:paraId="72C945FA" w14:textId="77777777" w:rsidTr="00044970">
        <w:trPr>
          <w:gridAfter w:val="2"/>
          <w:wAfter w:w="2552" w:type="dxa"/>
          <w:trHeight w:val="315"/>
        </w:trPr>
        <w:tc>
          <w:tcPr>
            <w:tcW w:w="3545" w:type="dxa"/>
            <w:tcBorders>
              <w:top w:val="single" w:sz="8" w:space="0" w:color="auto"/>
              <w:bottom w:val="single" w:sz="8" w:space="0" w:color="auto"/>
              <w:right w:val="nil"/>
            </w:tcBorders>
            <w:shd w:val="clear" w:color="auto" w:fill="auto"/>
            <w:vAlign w:val="center"/>
            <w:hideMark/>
          </w:tcPr>
          <w:p w14:paraId="07B19148" w14:textId="77777777" w:rsidR="00603D1A" w:rsidRPr="00476FAD" w:rsidRDefault="00603D1A" w:rsidP="00603D1A">
            <w:pPr>
              <w:spacing w:after="0" w:line="240" w:lineRule="auto"/>
              <w:jc w:val="right"/>
              <w:rPr>
                <w:rFonts w:ascii="Adobe Garamond Pro Bold" w:eastAsia="Times New Roman" w:hAnsi="Adobe Garamond Pro Bold" w:cs="Calibri"/>
                <w:b/>
                <w:bCs/>
                <w:color w:val="000000"/>
                <w:sz w:val="20"/>
                <w:szCs w:val="20"/>
                <w:lang w:eastAsia="ru-RU"/>
              </w:rPr>
            </w:pPr>
            <w:r w:rsidRPr="00476FAD">
              <w:rPr>
                <w:rFonts w:ascii="Adobe Garamond Pro Bold" w:eastAsia="Times New Roman" w:hAnsi="Adobe Garamond Pro Bold" w:cs="Calibri"/>
                <w:b/>
                <w:bCs/>
                <w:color w:val="000000"/>
                <w:sz w:val="20"/>
                <w:szCs w:val="20"/>
                <w:lang w:eastAsia="ru-RU"/>
              </w:rPr>
              <w:t> </w:t>
            </w:r>
          </w:p>
        </w:tc>
        <w:tc>
          <w:tcPr>
            <w:tcW w:w="1134" w:type="dxa"/>
            <w:tcBorders>
              <w:top w:val="single" w:sz="8" w:space="0" w:color="auto"/>
              <w:left w:val="nil"/>
              <w:bottom w:val="single" w:sz="8" w:space="0" w:color="auto"/>
              <w:right w:val="nil"/>
            </w:tcBorders>
            <w:shd w:val="clear" w:color="auto" w:fill="auto"/>
            <w:vAlign w:val="center"/>
            <w:hideMark/>
          </w:tcPr>
          <w:p w14:paraId="421F192D"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1275" w:type="dxa"/>
            <w:tcBorders>
              <w:top w:val="nil"/>
              <w:left w:val="nil"/>
              <w:bottom w:val="nil"/>
              <w:right w:val="nil"/>
            </w:tcBorders>
            <w:shd w:val="clear" w:color="auto" w:fill="auto"/>
            <w:vAlign w:val="center"/>
            <w:hideMark/>
          </w:tcPr>
          <w:p w14:paraId="3E1598A8"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5D8E3F8B" w14:textId="38FD5B10"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Северо-Западный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3528A185"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sidRPr="00361989">
              <w:rPr>
                <w:rFonts w:ascii="Times New Roman" w:eastAsia="Times New Roman" w:hAnsi="Times New Roman" w:cs="Times New Roman"/>
                <w:color w:val="000000"/>
                <w:sz w:val="20"/>
                <w:szCs w:val="20"/>
                <w:lang w:eastAsia="ru-RU"/>
              </w:rPr>
              <w:t>0</w:t>
            </w:r>
          </w:p>
        </w:tc>
      </w:tr>
      <w:tr w:rsidR="00603D1A" w:rsidRPr="00476FAD" w14:paraId="07F8623A" w14:textId="77777777" w:rsidTr="00044970">
        <w:trPr>
          <w:gridAfter w:val="2"/>
          <w:wAfter w:w="2552" w:type="dxa"/>
          <w:trHeight w:val="315"/>
        </w:trPr>
        <w:tc>
          <w:tcPr>
            <w:tcW w:w="3545" w:type="dxa"/>
            <w:tcBorders>
              <w:top w:val="single" w:sz="8" w:space="0" w:color="auto"/>
              <w:left w:val="single" w:sz="8" w:space="0" w:color="auto"/>
              <w:bottom w:val="single" w:sz="8" w:space="0" w:color="auto"/>
              <w:right w:val="nil"/>
            </w:tcBorders>
            <w:shd w:val="clear" w:color="auto" w:fill="auto"/>
            <w:vAlign w:val="center"/>
            <w:hideMark/>
          </w:tcPr>
          <w:p w14:paraId="2E8E7FC8" w14:textId="1515A4A5" w:rsidR="00603D1A" w:rsidRPr="00476FAD" w:rsidRDefault="00603D1A" w:rsidP="00603D1A">
            <w:pPr>
              <w:spacing w:after="0" w:line="240" w:lineRule="auto"/>
              <w:rPr>
                <w:rFonts w:ascii="Adobe Garamond Pro Bold" w:eastAsia="Times New Roman" w:hAnsi="Adobe Garamond Pro Bold" w:cs="Calibri"/>
                <w:b/>
                <w:bCs/>
                <w:color w:val="000000"/>
                <w:sz w:val="20"/>
                <w:szCs w:val="20"/>
                <w:lang w:eastAsia="ru-RU"/>
              </w:rPr>
            </w:pPr>
            <w:r>
              <w:rPr>
                <w:rFonts w:ascii="Times New Roman" w:eastAsia="Times New Roman" w:hAnsi="Times New Roman" w:cs="Times New Roman"/>
                <w:b/>
                <w:bCs/>
                <w:color w:val="000000"/>
                <w:sz w:val="20"/>
                <w:szCs w:val="20"/>
                <w:lang w:eastAsia="ru-RU"/>
              </w:rPr>
              <w:t>По т</w:t>
            </w:r>
            <w:r w:rsidRPr="00476FAD">
              <w:rPr>
                <w:rFonts w:ascii="Times New Roman" w:eastAsia="Times New Roman" w:hAnsi="Times New Roman" w:cs="Times New Roman"/>
                <w:b/>
                <w:bCs/>
                <w:color w:val="000000"/>
                <w:sz w:val="20"/>
                <w:szCs w:val="20"/>
                <w:lang w:eastAsia="ru-RU"/>
              </w:rPr>
              <w:t>ип</w:t>
            </w:r>
            <w:r>
              <w:rPr>
                <w:rFonts w:ascii="Times New Roman" w:eastAsia="Times New Roman" w:hAnsi="Times New Roman" w:cs="Times New Roman"/>
                <w:b/>
                <w:bCs/>
                <w:color w:val="000000"/>
                <w:sz w:val="20"/>
                <w:szCs w:val="20"/>
                <w:lang w:eastAsia="ru-RU"/>
              </w:rPr>
              <w:t>ам</w:t>
            </w:r>
            <w:r w:rsidRPr="00476FAD">
              <w:rPr>
                <w:rFonts w:ascii="Adobe Garamond Pro Bold" w:eastAsia="Times New Roman" w:hAnsi="Adobe Garamond Pro Bold" w:cs="Calibri"/>
                <w:b/>
                <w:bCs/>
                <w:color w:val="000000"/>
                <w:sz w:val="20"/>
                <w:szCs w:val="20"/>
                <w:lang w:eastAsia="ru-RU"/>
              </w:rPr>
              <w:t xml:space="preserve"> </w:t>
            </w:r>
            <w:r w:rsidRPr="00476FAD">
              <w:rPr>
                <w:rFonts w:ascii="Times New Roman" w:eastAsia="Times New Roman" w:hAnsi="Times New Roman" w:cs="Times New Roman"/>
                <w:b/>
                <w:bCs/>
                <w:color w:val="000000"/>
                <w:sz w:val="20"/>
                <w:szCs w:val="20"/>
                <w:lang w:eastAsia="ru-RU"/>
              </w:rPr>
              <w:t>аккредитации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C8EE27" w14:textId="688DE7B5"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кол-во ОП</w:t>
            </w:r>
          </w:p>
        </w:tc>
        <w:tc>
          <w:tcPr>
            <w:tcW w:w="1275" w:type="dxa"/>
            <w:tcBorders>
              <w:top w:val="nil"/>
              <w:left w:val="nil"/>
              <w:bottom w:val="nil"/>
              <w:right w:val="nil"/>
            </w:tcBorders>
            <w:shd w:val="clear" w:color="auto" w:fill="auto"/>
            <w:vAlign w:val="center"/>
            <w:hideMark/>
          </w:tcPr>
          <w:p w14:paraId="5665277B"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01A8874F" w14:textId="64D17B11"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Южный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395B8B36"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603D1A" w:rsidRPr="00476FAD" w14:paraId="62F57302" w14:textId="77777777" w:rsidTr="00044970">
        <w:trPr>
          <w:gridAfter w:val="2"/>
          <w:wAfter w:w="2552" w:type="dxa"/>
          <w:trHeight w:val="300"/>
        </w:trPr>
        <w:tc>
          <w:tcPr>
            <w:tcW w:w="3545" w:type="dxa"/>
            <w:tcBorders>
              <w:top w:val="single" w:sz="8" w:space="0" w:color="auto"/>
              <w:left w:val="single" w:sz="8" w:space="0" w:color="auto"/>
              <w:bottom w:val="single" w:sz="8" w:space="0" w:color="auto"/>
              <w:right w:val="nil"/>
            </w:tcBorders>
            <w:shd w:val="clear" w:color="000000" w:fill="FFFFFF"/>
            <w:hideMark/>
          </w:tcPr>
          <w:p w14:paraId="5EDCEE36" w14:textId="65784D0B" w:rsidR="00603D1A" w:rsidRPr="00044970" w:rsidRDefault="00603D1A" w:rsidP="00603D1A">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 xml:space="preserve">ВСЕГО ОП ПОА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AB6EB9" w14:textId="77777777" w:rsidR="00603D1A" w:rsidRPr="00476FAD" w:rsidRDefault="00603D1A" w:rsidP="00603D1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62</w:t>
            </w:r>
          </w:p>
        </w:tc>
        <w:tc>
          <w:tcPr>
            <w:tcW w:w="1275" w:type="dxa"/>
            <w:tcBorders>
              <w:top w:val="nil"/>
              <w:left w:val="nil"/>
              <w:bottom w:val="nil"/>
              <w:right w:val="nil"/>
            </w:tcBorders>
            <w:shd w:val="clear" w:color="auto" w:fill="auto"/>
            <w:vAlign w:val="center"/>
            <w:hideMark/>
          </w:tcPr>
          <w:p w14:paraId="37C398A2"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65C34821" w14:textId="53B7EB13"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Северо-Кавказский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0FB30C8F"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603D1A" w:rsidRPr="00476FAD" w14:paraId="03AA22D5" w14:textId="77777777" w:rsidTr="00044970">
        <w:trPr>
          <w:gridAfter w:val="2"/>
          <w:wAfter w:w="2552" w:type="dxa"/>
          <w:trHeight w:val="300"/>
        </w:trPr>
        <w:tc>
          <w:tcPr>
            <w:tcW w:w="3545" w:type="dxa"/>
            <w:tcBorders>
              <w:top w:val="single" w:sz="8" w:space="0" w:color="auto"/>
              <w:left w:val="single" w:sz="8" w:space="0" w:color="auto"/>
              <w:bottom w:val="single" w:sz="8" w:space="0" w:color="auto"/>
              <w:right w:val="nil"/>
            </w:tcBorders>
            <w:shd w:val="clear" w:color="000000" w:fill="FFFFFF"/>
            <w:hideMark/>
          </w:tcPr>
          <w:p w14:paraId="7D4A023E" w14:textId="07C62254" w:rsidR="00603D1A" w:rsidRPr="00535824" w:rsidRDefault="00603D1A" w:rsidP="00603D1A">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ВСЕГО ОП МА АККОРК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4501A8" w14:textId="77777777" w:rsidR="00603D1A" w:rsidRPr="00476FAD" w:rsidRDefault="00603D1A" w:rsidP="00603D1A">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19</w:t>
            </w:r>
          </w:p>
        </w:tc>
        <w:tc>
          <w:tcPr>
            <w:tcW w:w="1275" w:type="dxa"/>
            <w:tcBorders>
              <w:top w:val="nil"/>
              <w:left w:val="nil"/>
              <w:bottom w:val="nil"/>
              <w:right w:val="nil"/>
            </w:tcBorders>
            <w:shd w:val="clear" w:color="auto" w:fill="auto"/>
            <w:vAlign w:val="center"/>
            <w:hideMark/>
          </w:tcPr>
          <w:p w14:paraId="415D4AB2" w14:textId="77777777" w:rsidR="00603D1A" w:rsidRPr="00476FAD" w:rsidRDefault="00603D1A" w:rsidP="00603D1A">
            <w:pPr>
              <w:spacing w:after="0" w:line="240" w:lineRule="auto"/>
              <w:jc w:val="center"/>
              <w:rPr>
                <w:rFonts w:ascii="Calibri" w:eastAsia="Times New Roman" w:hAnsi="Calibri" w:cs="Calibri"/>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33075F23" w14:textId="1CED5AAC"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Приволжский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14:paraId="3CD99EB4"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03D1A" w:rsidRPr="00476FAD" w14:paraId="42A66A96" w14:textId="77777777" w:rsidTr="00044970">
        <w:trPr>
          <w:gridAfter w:val="2"/>
          <w:wAfter w:w="2552" w:type="dxa"/>
          <w:trHeight w:val="315"/>
        </w:trPr>
        <w:tc>
          <w:tcPr>
            <w:tcW w:w="3545" w:type="dxa"/>
            <w:tcBorders>
              <w:top w:val="single" w:sz="8" w:space="0" w:color="auto"/>
              <w:left w:val="single" w:sz="8" w:space="0" w:color="auto"/>
              <w:bottom w:val="single" w:sz="8" w:space="0" w:color="auto"/>
              <w:right w:val="single" w:sz="8" w:space="0" w:color="auto"/>
            </w:tcBorders>
            <w:shd w:val="clear" w:color="000000" w:fill="FFFFFF"/>
            <w:vAlign w:val="center"/>
          </w:tcPr>
          <w:p w14:paraId="3106E4C6" w14:textId="74BD8F1D" w:rsidR="00603D1A" w:rsidRPr="00603D1A"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ВСЕГО ОП ЗА (DEVA, ZEvA, FIBAA)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835DE3" w14:textId="77777777" w:rsidR="00603D1A" w:rsidRPr="00476FAD"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5" w:type="dxa"/>
            <w:tcBorders>
              <w:top w:val="nil"/>
              <w:left w:val="single" w:sz="8" w:space="0" w:color="auto"/>
              <w:bottom w:val="nil"/>
              <w:right w:val="nil"/>
            </w:tcBorders>
            <w:shd w:val="clear" w:color="auto" w:fill="auto"/>
            <w:vAlign w:val="center"/>
            <w:hideMark/>
          </w:tcPr>
          <w:p w14:paraId="7AB5C51F"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2A58399D" w14:textId="4892CFA6"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Уральский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tcPr>
          <w:p w14:paraId="15A6FF8C"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603D1A" w:rsidRPr="00476FAD" w14:paraId="0E6F1776" w14:textId="77777777" w:rsidTr="00044970">
        <w:trPr>
          <w:gridAfter w:val="2"/>
          <w:wAfter w:w="2552" w:type="dxa"/>
          <w:trHeight w:val="315"/>
        </w:trPr>
        <w:tc>
          <w:tcPr>
            <w:tcW w:w="3545" w:type="dxa"/>
            <w:tcBorders>
              <w:top w:val="single" w:sz="8" w:space="0" w:color="auto"/>
              <w:left w:val="single" w:sz="8" w:space="0" w:color="auto"/>
              <w:bottom w:val="single" w:sz="8" w:space="0" w:color="auto"/>
              <w:right w:val="single" w:sz="8" w:space="0" w:color="auto"/>
            </w:tcBorders>
            <w:shd w:val="clear" w:color="000000" w:fill="FFFFFF"/>
            <w:vAlign w:val="center"/>
          </w:tcPr>
          <w:p w14:paraId="0553D656" w14:textId="4EEBAF0C" w:rsidR="00603D1A" w:rsidRPr="00044970" w:rsidRDefault="00603D1A" w:rsidP="00603D1A">
            <w:pPr>
              <w:spacing w:after="0" w:line="240" w:lineRule="auto"/>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bCs/>
                <w:color w:val="000000"/>
                <w:sz w:val="20"/>
                <w:szCs w:val="20"/>
                <w:lang w:val="en-US" w:eastAsia="ru-RU"/>
              </w:rPr>
              <w:t xml:space="preserve">ИНСТИТУЦИОНАЛЬНАЯ </w:t>
            </w:r>
            <w:r>
              <w:rPr>
                <w:rFonts w:ascii="Times New Roman" w:eastAsia="Times New Roman" w:hAnsi="Times New Roman" w:cs="Times New Roman"/>
                <w:bCs/>
                <w:color w:val="000000"/>
                <w:sz w:val="20"/>
                <w:szCs w:val="20"/>
                <w:lang w:eastAsia="ru-RU"/>
              </w:rPr>
              <w:t>АККРЕДИТАЦИЯ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524C8C" w14:textId="77777777" w:rsidR="00603D1A" w:rsidRPr="00A5053B" w:rsidRDefault="00603D1A" w:rsidP="00603D1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5" w:type="dxa"/>
            <w:tcBorders>
              <w:top w:val="nil"/>
              <w:left w:val="single" w:sz="8" w:space="0" w:color="auto"/>
              <w:bottom w:val="nil"/>
              <w:right w:val="nil"/>
            </w:tcBorders>
            <w:shd w:val="clear" w:color="auto" w:fill="auto"/>
            <w:vAlign w:val="center"/>
            <w:hideMark/>
          </w:tcPr>
          <w:p w14:paraId="7C4F969C"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1451D357" w14:textId="5F01E70E"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xml:space="preserve">Дальневосточный ФО </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tcPr>
          <w:p w14:paraId="22255D0A" w14:textId="77777777" w:rsidR="00603D1A" w:rsidRPr="00361989"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603D1A" w:rsidRPr="00476FAD" w14:paraId="31203E96" w14:textId="3E096A21" w:rsidTr="00044970">
        <w:trPr>
          <w:trHeight w:val="315"/>
        </w:trPr>
        <w:tc>
          <w:tcPr>
            <w:tcW w:w="3545" w:type="dxa"/>
            <w:tcBorders>
              <w:top w:val="single" w:sz="8" w:space="0" w:color="auto"/>
            </w:tcBorders>
            <w:shd w:val="clear" w:color="000000" w:fill="FFFFFF"/>
            <w:vAlign w:val="center"/>
          </w:tcPr>
          <w:p w14:paraId="4B1D2853" w14:textId="77777777" w:rsidR="00603D1A" w:rsidRPr="00A5053B" w:rsidRDefault="00603D1A" w:rsidP="00603D1A">
            <w:pPr>
              <w:spacing w:after="0" w:line="240" w:lineRule="auto"/>
              <w:rPr>
                <w:rFonts w:ascii="Times New Roman" w:eastAsia="Times New Roman" w:hAnsi="Times New Roman" w:cs="Times New Roman"/>
                <w:bCs/>
                <w:color w:val="000000"/>
                <w:sz w:val="20"/>
                <w:szCs w:val="20"/>
                <w:lang w:eastAsia="ru-RU"/>
              </w:rPr>
            </w:pPr>
          </w:p>
        </w:tc>
        <w:tc>
          <w:tcPr>
            <w:tcW w:w="1134" w:type="dxa"/>
            <w:tcBorders>
              <w:top w:val="single" w:sz="8" w:space="0" w:color="auto"/>
            </w:tcBorders>
            <w:shd w:val="clear" w:color="auto" w:fill="auto"/>
            <w:vAlign w:val="center"/>
          </w:tcPr>
          <w:p w14:paraId="38A0D7FD" w14:textId="77777777" w:rsidR="00603D1A" w:rsidRDefault="00603D1A" w:rsidP="00603D1A">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nil"/>
              <w:left w:val="nil"/>
              <w:bottom w:val="nil"/>
              <w:right w:val="nil"/>
            </w:tcBorders>
            <w:shd w:val="clear" w:color="auto" w:fill="auto"/>
            <w:vAlign w:val="center"/>
          </w:tcPr>
          <w:p w14:paraId="0D8AC49A"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tcPr>
          <w:p w14:paraId="1FA50A8F" w14:textId="00ECBAC4" w:rsidR="00603D1A" w:rsidRPr="00361989" w:rsidRDefault="00603D1A" w:rsidP="00603D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Сибирский ФО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tcPr>
          <w:p w14:paraId="1992D5C9" w14:textId="51F8092D" w:rsidR="00603D1A"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6" w:type="dxa"/>
          </w:tcPr>
          <w:p w14:paraId="0A3955B3" w14:textId="77777777" w:rsidR="00603D1A" w:rsidRPr="00476FAD" w:rsidRDefault="00603D1A" w:rsidP="00603D1A"/>
        </w:tc>
        <w:tc>
          <w:tcPr>
            <w:tcW w:w="1276" w:type="dxa"/>
          </w:tcPr>
          <w:p w14:paraId="5499621B" w14:textId="3E224608" w:rsidR="00603D1A" w:rsidRPr="00476FAD" w:rsidRDefault="00603D1A" w:rsidP="00603D1A">
            <w:r>
              <w:rPr>
                <w:rFonts w:ascii="Times New Roman" w:eastAsia="Times New Roman" w:hAnsi="Times New Roman" w:cs="Times New Roman"/>
                <w:color w:val="000000"/>
                <w:sz w:val="20"/>
                <w:szCs w:val="20"/>
                <w:lang w:eastAsia="ru-RU"/>
              </w:rPr>
              <w:t>5</w:t>
            </w:r>
          </w:p>
        </w:tc>
      </w:tr>
      <w:tr w:rsidR="00603D1A" w:rsidRPr="00476FAD" w14:paraId="1222C4AA" w14:textId="43E57A85" w:rsidTr="00044970">
        <w:trPr>
          <w:trHeight w:val="315"/>
        </w:trPr>
        <w:tc>
          <w:tcPr>
            <w:tcW w:w="3545" w:type="dxa"/>
            <w:shd w:val="clear" w:color="000000" w:fill="FFFFFF"/>
            <w:vAlign w:val="center"/>
          </w:tcPr>
          <w:p w14:paraId="3EC95682" w14:textId="77777777" w:rsidR="00603D1A" w:rsidRPr="00A5053B" w:rsidRDefault="00603D1A" w:rsidP="00603D1A">
            <w:pPr>
              <w:spacing w:after="0" w:line="240" w:lineRule="auto"/>
              <w:rPr>
                <w:rFonts w:ascii="Times New Roman" w:eastAsia="Times New Roman" w:hAnsi="Times New Roman" w:cs="Times New Roman"/>
                <w:bCs/>
                <w:color w:val="000000"/>
                <w:sz w:val="20"/>
                <w:szCs w:val="20"/>
                <w:lang w:eastAsia="ru-RU"/>
              </w:rPr>
            </w:pPr>
          </w:p>
        </w:tc>
        <w:tc>
          <w:tcPr>
            <w:tcW w:w="1134" w:type="dxa"/>
            <w:shd w:val="clear" w:color="auto" w:fill="auto"/>
            <w:vAlign w:val="center"/>
          </w:tcPr>
          <w:p w14:paraId="4D089071" w14:textId="77777777" w:rsidR="00603D1A" w:rsidRDefault="00603D1A" w:rsidP="00603D1A">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nil"/>
              <w:left w:val="nil"/>
              <w:right w:val="nil"/>
            </w:tcBorders>
            <w:shd w:val="clear" w:color="auto" w:fill="auto"/>
            <w:vAlign w:val="center"/>
          </w:tcPr>
          <w:p w14:paraId="5C9A295F" w14:textId="77777777" w:rsidR="00603D1A" w:rsidRPr="00476FAD" w:rsidRDefault="00603D1A" w:rsidP="00603D1A">
            <w:pPr>
              <w:spacing w:after="0" w:line="240" w:lineRule="auto"/>
              <w:jc w:val="center"/>
              <w:rPr>
                <w:rFonts w:ascii="Times New Roman" w:eastAsia="Times New Roman" w:hAnsi="Times New Roman" w:cs="Times New Roman"/>
                <w:b/>
                <w:bCs/>
                <w:color w:val="000000"/>
                <w:sz w:val="20"/>
                <w:szCs w:val="20"/>
                <w:lang w:eastAsia="ru-RU"/>
              </w:rPr>
            </w:pPr>
          </w:p>
        </w:tc>
        <w:tc>
          <w:tcPr>
            <w:tcW w:w="2234" w:type="dxa"/>
            <w:gridSpan w:val="2"/>
            <w:tcBorders>
              <w:top w:val="single" w:sz="8" w:space="0" w:color="auto"/>
              <w:left w:val="single" w:sz="8" w:space="0" w:color="auto"/>
              <w:bottom w:val="single" w:sz="8" w:space="0" w:color="auto"/>
              <w:right w:val="single" w:sz="8" w:space="0" w:color="auto"/>
            </w:tcBorders>
            <w:shd w:val="clear" w:color="000000" w:fill="FFFFFF"/>
          </w:tcPr>
          <w:p w14:paraId="2132180D" w14:textId="612F0629" w:rsidR="00603D1A" w:rsidRPr="00603D1A" w:rsidRDefault="00603D1A" w:rsidP="00603D1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Итого</w:t>
            </w:r>
          </w:p>
        </w:tc>
        <w:tc>
          <w:tcPr>
            <w:tcW w:w="1876" w:type="dxa"/>
            <w:gridSpan w:val="2"/>
            <w:tcBorders>
              <w:top w:val="single" w:sz="8" w:space="0" w:color="auto"/>
              <w:left w:val="single" w:sz="8" w:space="0" w:color="auto"/>
              <w:bottom w:val="single" w:sz="8" w:space="0" w:color="auto"/>
              <w:right w:val="single" w:sz="8" w:space="0" w:color="auto"/>
            </w:tcBorders>
            <w:shd w:val="clear" w:color="000000" w:fill="FFFFFF"/>
          </w:tcPr>
          <w:p w14:paraId="19D16BD7" w14:textId="0A3A96B8" w:rsidR="00603D1A" w:rsidRDefault="00603D1A" w:rsidP="00603D1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r w:rsidRPr="00361989">
              <w:rPr>
                <w:rFonts w:ascii="Times New Roman" w:eastAsia="Times New Roman" w:hAnsi="Times New Roman" w:cs="Times New Roman"/>
                <w:color w:val="000000"/>
                <w:sz w:val="20"/>
                <w:szCs w:val="20"/>
                <w:lang w:eastAsia="ru-RU"/>
              </w:rPr>
              <w:t> </w:t>
            </w:r>
          </w:p>
        </w:tc>
        <w:tc>
          <w:tcPr>
            <w:tcW w:w="1276" w:type="dxa"/>
          </w:tcPr>
          <w:p w14:paraId="559A2372" w14:textId="5292131C" w:rsidR="00603D1A" w:rsidRPr="00476FAD" w:rsidRDefault="00603D1A" w:rsidP="00603D1A">
            <w:r w:rsidRPr="00361989">
              <w:rPr>
                <w:rFonts w:ascii="Times New Roman" w:eastAsia="Times New Roman" w:hAnsi="Times New Roman" w:cs="Times New Roman"/>
                <w:color w:val="000000"/>
                <w:sz w:val="20"/>
                <w:szCs w:val="20"/>
                <w:lang w:eastAsia="ru-RU"/>
              </w:rPr>
              <w:t> </w:t>
            </w:r>
          </w:p>
        </w:tc>
        <w:tc>
          <w:tcPr>
            <w:tcW w:w="1276" w:type="dxa"/>
          </w:tcPr>
          <w:p w14:paraId="154EB22B" w14:textId="48F3F482" w:rsidR="00603D1A" w:rsidRPr="00476FAD" w:rsidRDefault="00603D1A" w:rsidP="00603D1A">
            <w:r w:rsidRPr="00361989">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eastAsia="ru-RU"/>
              </w:rPr>
              <w:t>3</w:t>
            </w:r>
          </w:p>
        </w:tc>
      </w:tr>
      <w:tr w:rsidR="00421021" w:rsidRPr="00476FAD" w14:paraId="73624D8E" w14:textId="77777777" w:rsidTr="00044970">
        <w:trPr>
          <w:gridAfter w:val="2"/>
          <w:wAfter w:w="2552" w:type="dxa"/>
          <w:trHeight w:val="270"/>
        </w:trPr>
        <w:tc>
          <w:tcPr>
            <w:tcW w:w="3545" w:type="dxa"/>
            <w:tcBorders>
              <w:right w:val="nil"/>
            </w:tcBorders>
            <w:shd w:val="clear" w:color="000000" w:fill="FFFFFF"/>
            <w:vAlign w:val="center"/>
          </w:tcPr>
          <w:p w14:paraId="56E3C0A4" w14:textId="77777777" w:rsidR="00421021" w:rsidRDefault="00421021" w:rsidP="00421021">
            <w:pPr>
              <w:spacing w:after="0" w:line="240" w:lineRule="auto"/>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1134" w:type="dxa"/>
            <w:tcBorders>
              <w:left w:val="nil"/>
              <w:right w:val="nil"/>
            </w:tcBorders>
            <w:shd w:val="clear" w:color="auto" w:fill="auto"/>
            <w:vAlign w:val="center"/>
          </w:tcPr>
          <w:p w14:paraId="7A6224F2"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tcBorders>
              <w:top w:val="nil"/>
              <w:left w:val="nil"/>
              <w:bottom w:val="nil"/>
            </w:tcBorders>
            <w:shd w:val="clear" w:color="auto" w:fill="auto"/>
            <w:vAlign w:val="center"/>
          </w:tcPr>
          <w:p w14:paraId="22306229" w14:textId="77777777" w:rsidR="00421021" w:rsidRPr="00476FAD" w:rsidRDefault="00421021" w:rsidP="00421021">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8" w:space="0" w:color="auto"/>
            </w:tcBorders>
            <w:shd w:val="clear" w:color="000000" w:fill="FFFFFF"/>
          </w:tcPr>
          <w:p w14:paraId="35327751" w14:textId="4041C005"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p>
        </w:tc>
        <w:tc>
          <w:tcPr>
            <w:tcW w:w="958" w:type="dxa"/>
            <w:tcBorders>
              <w:top w:val="single" w:sz="8" w:space="0" w:color="auto"/>
            </w:tcBorders>
            <w:shd w:val="clear" w:color="000000" w:fill="FFFFFF"/>
          </w:tcPr>
          <w:p w14:paraId="6C182FA5" w14:textId="77777777"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8" w:space="0" w:color="auto"/>
            </w:tcBorders>
            <w:shd w:val="clear" w:color="000000" w:fill="FFFFFF"/>
          </w:tcPr>
          <w:p w14:paraId="76E8C93F" w14:textId="77777777"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p>
        </w:tc>
        <w:tc>
          <w:tcPr>
            <w:tcW w:w="600" w:type="dxa"/>
            <w:tcBorders>
              <w:top w:val="single" w:sz="8" w:space="0" w:color="auto"/>
            </w:tcBorders>
            <w:shd w:val="clear" w:color="000000" w:fill="FFFFFF"/>
          </w:tcPr>
          <w:p w14:paraId="5B7D5CE9" w14:textId="35706139" w:rsidR="00421021" w:rsidRPr="00361989" w:rsidRDefault="00421021" w:rsidP="00421021">
            <w:pPr>
              <w:spacing w:after="0" w:line="240" w:lineRule="auto"/>
              <w:jc w:val="center"/>
              <w:rPr>
                <w:rFonts w:ascii="Times New Roman" w:eastAsia="Times New Roman" w:hAnsi="Times New Roman" w:cs="Times New Roman"/>
                <w:color w:val="000000"/>
                <w:sz w:val="20"/>
                <w:szCs w:val="20"/>
                <w:lang w:eastAsia="ru-RU"/>
              </w:rPr>
            </w:pPr>
          </w:p>
        </w:tc>
      </w:tr>
      <w:tr w:rsidR="00421021" w:rsidRPr="00476FAD" w14:paraId="19C88C26" w14:textId="77777777" w:rsidTr="00044970">
        <w:trPr>
          <w:gridAfter w:val="2"/>
          <w:wAfter w:w="2552" w:type="dxa"/>
          <w:trHeight w:val="270"/>
        </w:trPr>
        <w:tc>
          <w:tcPr>
            <w:tcW w:w="3545" w:type="dxa"/>
            <w:shd w:val="clear" w:color="000000" w:fill="FFFFFF"/>
            <w:hideMark/>
          </w:tcPr>
          <w:p w14:paraId="1D46248B" w14:textId="77777777" w:rsidR="00421021" w:rsidRPr="00476FAD" w:rsidRDefault="00421021" w:rsidP="00421021">
            <w:pPr>
              <w:spacing w:after="0" w:line="240" w:lineRule="auto"/>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14:paraId="26F4A7F6" w14:textId="77777777" w:rsidR="00421021" w:rsidRPr="00476FAD" w:rsidRDefault="00421021" w:rsidP="00421021">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tcBorders>
              <w:top w:val="nil"/>
              <w:left w:val="nil"/>
            </w:tcBorders>
            <w:shd w:val="clear" w:color="auto" w:fill="auto"/>
            <w:vAlign w:val="center"/>
            <w:hideMark/>
          </w:tcPr>
          <w:p w14:paraId="12DC5C71" w14:textId="77777777" w:rsidR="00421021" w:rsidRPr="00476FAD" w:rsidRDefault="00421021" w:rsidP="00421021">
            <w:pPr>
              <w:spacing w:after="0" w:line="240" w:lineRule="auto"/>
              <w:jc w:val="center"/>
              <w:rPr>
                <w:rFonts w:ascii="Times New Roman" w:eastAsia="Times New Roman" w:hAnsi="Times New Roman" w:cs="Times New Roman"/>
                <w:color w:val="000000"/>
                <w:sz w:val="20"/>
                <w:szCs w:val="20"/>
                <w:lang w:eastAsia="ru-RU"/>
              </w:rPr>
            </w:pPr>
          </w:p>
        </w:tc>
        <w:tc>
          <w:tcPr>
            <w:tcW w:w="1276" w:type="dxa"/>
            <w:shd w:val="clear" w:color="000000" w:fill="FFFFFF"/>
            <w:hideMark/>
          </w:tcPr>
          <w:p w14:paraId="2AD306E3" w14:textId="77777777"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r w:rsidRPr="00361989">
              <w:rPr>
                <w:rFonts w:ascii="Times New Roman" w:eastAsia="Times New Roman" w:hAnsi="Times New Roman" w:cs="Times New Roman"/>
                <w:color w:val="000000"/>
                <w:sz w:val="20"/>
                <w:szCs w:val="20"/>
                <w:lang w:eastAsia="ru-RU"/>
              </w:rPr>
              <w:t> </w:t>
            </w:r>
          </w:p>
        </w:tc>
        <w:tc>
          <w:tcPr>
            <w:tcW w:w="958" w:type="dxa"/>
            <w:shd w:val="clear" w:color="000000" w:fill="FFFFFF"/>
            <w:hideMark/>
          </w:tcPr>
          <w:p w14:paraId="7CBBEFE7" w14:textId="77777777"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r w:rsidRPr="00361989">
              <w:rPr>
                <w:rFonts w:ascii="Times New Roman" w:eastAsia="Times New Roman" w:hAnsi="Times New Roman" w:cs="Times New Roman"/>
                <w:color w:val="000000"/>
                <w:sz w:val="20"/>
                <w:szCs w:val="20"/>
                <w:lang w:eastAsia="ru-RU"/>
              </w:rPr>
              <w:t> </w:t>
            </w:r>
          </w:p>
        </w:tc>
        <w:tc>
          <w:tcPr>
            <w:tcW w:w="1276" w:type="dxa"/>
            <w:shd w:val="clear" w:color="000000" w:fill="FFFFFF"/>
            <w:hideMark/>
          </w:tcPr>
          <w:p w14:paraId="50EF6F06" w14:textId="77777777" w:rsidR="00421021" w:rsidRPr="00361989" w:rsidRDefault="00421021" w:rsidP="00421021">
            <w:pPr>
              <w:spacing w:after="0" w:line="240" w:lineRule="auto"/>
              <w:rPr>
                <w:rFonts w:ascii="Times New Roman" w:eastAsia="Times New Roman" w:hAnsi="Times New Roman" w:cs="Times New Roman"/>
                <w:color w:val="000000"/>
                <w:sz w:val="20"/>
                <w:szCs w:val="20"/>
                <w:lang w:eastAsia="ru-RU"/>
              </w:rPr>
            </w:pPr>
            <w:r w:rsidRPr="00361989">
              <w:rPr>
                <w:rFonts w:ascii="Times New Roman" w:eastAsia="Times New Roman" w:hAnsi="Times New Roman" w:cs="Times New Roman"/>
                <w:color w:val="000000"/>
                <w:sz w:val="20"/>
                <w:szCs w:val="20"/>
                <w:lang w:eastAsia="ru-RU"/>
              </w:rPr>
              <w:t> </w:t>
            </w:r>
          </w:p>
        </w:tc>
        <w:tc>
          <w:tcPr>
            <w:tcW w:w="600" w:type="dxa"/>
            <w:shd w:val="clear" w:color="000000" w:fill="FFFFFF"/>
          </w:tcPr>
          <w:p w14:paraId="0C8307A2" w14:textId="334EA6A4" w:rsidR="00421021" w:rsidRPr="00361989" w:rsidRDefault="00421021" w:rsidP="00421021">
            <w:pPr>
              <w:spacing w:after="0" w:line="240" w:lineRule="auto"/>
              <w:jc w:val="center"/>
              <w:rPr>
                <w:rFonts w:ascii="Times New Roman" w:eastAsia="Times New Roman" w:hAnsi="Times New Roman" w:cs="Times New Roman"/>
                <w:b/>
                <w:color w:val="000000"/>
                <w:sz w:val="20"/>
                <w:szCs w:val="20"/>
                <w:lang w:eastAsia="ru-RU"/>
              </w:rPr>
            </w:pPr>
          </w:p>
        </w:tc>
      </w:tr>
    </w:tbl>
    <w:p w14:paraId="67AC1B6A" w14:textId="77777777" w:rsidR="00657F07" w:rsidRDefault="00657F07" w:rsidP="00657F07"/>
    <w:p w14:paraId="24131401" w14:textId="6F81F77C" w:rsidR="0093217F" w:rsidRDefault="0093217F" w:rsidP="001A068D">
      <w:pPr>
        <w:spacing w:line="276" w:lineRule="auto"/>
        <w:rPr>
          <w:rFonts w:ascii="Times New Roman" w:hAnsi="Times New Roman" w:cs="Times New Roman"/>
          <w:sz w:val="28"/>
          <w:szCs w:val="28"/>
        </w:rPr>
        <w:sectPr w:rsidR="0093217F" w:rsidSect="00657F07">
          <w:pgSz w:w="11906" w:h="16838"/>
          <w:pgMar w:top="1134" w:right="850" w:bottom="1134" w:left="1701" w:header="708" w:footer="708" w:gutter="0"/>
          <w:cols w:space="708"/>
          <w:docGrid w:linePitch="360"/>
        </w:sectPr>
      </w:pPr>
    </w:p>
    <w:p w14:paraId="63A25AE8" w14:textId="10193C04" w:rsidR="003C7463" w:rsidRDefault="00130BDF" w:rsidP="001A068D">
      <w:pPr>
        <w:pStyle w:val="a3"/>
        <w:numPr>
          <w:ilvl w:val="0"/>
          <w:numId w:val="1"/>
        </w:numPr>
        <w:tabs>
          <w:tab w:val="left" w:pos="993"/>
        </w:tabs>
        <w:spacing w:after="0"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7D6F3901" w14:textId="08CA98EF" w:rsidR="004F70BE" w:rsidRPr="001A068D" w:rsidRDefault="000D5AB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Все образовательные программы, прошедшие независимую оценку АККОРК и профессионально-общественную аккредитацию с участием АККОРК в 2014 г., продемонстрировали достаточный уровень качества результатов обучения и гарантий качества образования, что позволило вынести положительное решение об их аккредитации. При этом сравнительный анализ экспертных отчетов за 2014 год позволяет выявить общие тенденции развития и наиболее распространенные проблемы, с которыми сталкиваются образовательные организации в ходе реализации </w:t>
      </w:r>
      <w:r w:rsidR="006170B3">
        <w:rPr>
          <w:rFonts w:ascii="Times New Roman" w:hAnsi="Times New Roman" w:cs="Times New Roman"/>
          <w:sz w:val="28"/>
          <w:szCs w:val="28"/>
        </w:rPr>
        <w:t>ОП</w:t>
      </w:r>
      <w:r w:rsidRPr="001A068D">
        <w:rPr>
          <w:rFonts w:ascii="Times New Roman" w:hAnsi="Times New Roman" w:cs="Times New Roman"/>
          <w:sz w:val="28"/>
          <w:szCs w:val="28"/>
        </w:rPr>
        <w:t>. Одна из наиболее ярки</w:t>
      </w:r>
      <w:r w:rsidR="002D3F76" w:rsidRPr="001A068D">
        <w:rPr>
          <w:rFonts w:ascii="Times New Roman" w:hAnsi="Times New Roman" w:cs="Times New Roman"/>
          <w:sz w:val="28"/>
          <w:szCs w:val="28"/>
        </w:rPr>
        <w:t>х тенденций заключается в</w:t>
      </w:r>
      <w:r w:rsidR="001A068D">
        <w:rPr>
          <w:rFonts w:ascii="Times New Roman" w:hAnsi="Times New Roman" w:cs="Times New Roman"/>
          <w:sz w:val="28"/>
          <w:szCs w:val="28"/>
        </w:rPr>
        <w:t xml:space="preserve"> стремительном</w:t>
      </w:r>
      <w:r w:rsidR="002D3F76" w:rsidRPr="001A068D">
        <w:rPr>
          <w:rFonts w:ascii="Times New Roman" w:hAnsi="Times New Roman" w:cs="Times New Roman"/>
          <w:sz w:val="28"/>
          <w:szCs w:val="28"/>
        </w:rPr>
        <w:t xml:space="preserve"> расширении использования ИКТ как в управлении образовательными программами, так и в самом учебном процессе. Переходный период предполагает некоторую фрагментарность использования новых технологий, что и отражают экспертные отчеты и представленные в них рекомендации. </w:t>
      </w:r>
      <w:r w:rsidR="004F70BE" w:rsidRPr="001A068D">
        <w:rPr>
          <w:rFonts w:ascii="Times New Roman" w:hAnsi="Times New Roman" w:cs="Times New Roman"/>
          <w:sz w:val="28"/>
          <w:szCs w:val="28"/>
        </w:rPr>
        <w:t>При этом очевидно, что большинство образовательных организаций осознают необходимость эффективного использования ИКТ как в преподавании и обучении, так и в организации и управлении программой, а также в развитии студенческих сервисов, для поддержания и повышения своей конкурентоспособности.</w:t>
      </w:r>
    </w:p>
    <w:p w14:paraId="4C82D926" w14:textId="1B25F569" w:rsidR="003C7463" w:rsidRPr="001A068D" w:rsidRDefault="004F70BE"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Распространенной проблемой является недостаточная связь работодателей и образовательных организаций, что проявляется в различных аспектах образовательной деятельности: в низком участии работодателей в разработке структуры и содержания программ, УМК, в курировании ВКР, в обновлении материально-технических ресурсов, в малой представленности членов профессионального сообщества в составе ППС. При этом образовательные организации реализуют различные инициативы по укреплению и расширению связей с работодателями, чему в дальнейшем также могут способствовать представленные экспертами рекомендации.</w:t>
      </w:r>
    </w:p>
    <w:sectPr w:rsidR="003C7463" w:rsidRPr="001A068D" w:rsidSect="00932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BA3A" w14:textId="77777777" w:rsidR="00C230C0" w:rsidRDefault="00C230C0">
      <w:pPr>
        <w:spacing w:after="0" w:line="240" w:lineRule="auto"/>
      </w:pPr>
      <w:r>
        <w:separator/>
      </w:r>
    </w:p>
  </w:endnote>
  <w:endnote w:type="continuationSeparator" w:id="0">
    <w:p w14:paraId="4A70B7A2" w14:textId="77777777" w:rsidR="00C230C0" w:rsidRDefault="00C2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Modern No. 20">
    <w:panose1 w:val="02070704070505020303"/>
    <w:charset w:val="00"/>
    <w:family w:val="roman"/>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FBC" w14:textId="77777777" w:rsidR="0013625A" w:rsidRDefault="0013625A">
    <w:pPr>
      <w:pStyle w:val="a5"/>
      <w:jc w:val="right"/>
    </w:pPr>
    <w:r>
      <w:fldChar w:fldCharType="begin"/>
    </w:r>
    <w:r>
      <w:instrText xml:space="preserve"> PAGE   \* MERGEFORMAT </w:instrText>
    </w:r>
    <w:r>
      <w:fldChar w:fldCharType="separate"/>
    </w:r>
    <w:r w:rsidR="007816CE">
      <w:rPr>
        <w:noProof/>
      </w:rPr>
      <w:t>1</w:t>
    </w:r>
    <w:r>
      <w:rPr>
        <w:noProof/>
      </w:rPr>
      <w:fldChar w:fldCharType="end"/>
    </w:r>
  </w:p>
  <w:p w14:paraId="53EB17AD" w14:textId="77777777" w:rsidR="0013625A" w:rsidRDefault="001362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63B2" w14:textId="77777777" w:rsidR="00C230C0" w:rsidRDefault="00C230C0">
      <w:pPr>
        <w:spacing w:after="0" w:line="240" w:lineRule="auto"/>
      </w:pPr>
      <w:r>
        <w:separator/>
      </w:r>
    </w:p>
  </w:footnote>
  <w:footnote w:type="continuationSeparator" w:id="0">
    <w:p w14:paraId="04F056B6" w14:textId="77777777" w:rsidR="00C230C0" w:rsidRDefault="00C23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multilevel"/>
    <w:tmpl w:val="0000003D"/>
    <w:lvl w:ilvl="0">
      <w:start w:val="1"/>
      <w:numFmt w:val="decimal"/>
      <w:lvlText w:val="%1"/>
      <w:lvlJc w:val="left"/>
      <w:pPr>
        <w:tabs>
          <w:tab w:val="num" w:pos="0"/>
        </w:tabs>
        <w:ind w:left="716"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486A76"/>
    <w:multiLevelType w:val="multilevel"/>
    <w:tmpl w:val="B9A8DE3A"/>
    <w:lvl w:ilvl="0">
      <w:start w:val="1"/>
      <w:numFmt w:val="decimal"/>
      <w:lvlText w:val="%1."/>
      <w:lvlJc w:val="left"/>
      <w:pPr>
        <w:ind w:left="540" w:hanging="540"/>
      </w:pPr>
      <w:rPr>
        <w:rFonts w:cs="Times New Roman" w:hint="default"/>
      </w:rPr>
    </w:lvl>
    <w:lvl w:ilvl="1">
      <w:start w:val="6"/>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15:restartNumberingAfterBreak="0">
    <w:nsid w:val="07D82CAC"/>
    <w:multiLevelType w:val="multilevel"/>
    <w:tmpl w:val="3C40AE8A"/>
    <w:lvl w:ilvl="0">
      <w:start w:val="1"/>
      <w:numFmt w:val="decimal"/>
      <w:lvlText w:val="%1."/>
      <w:lvlJc w:val="left"/>
      <w:pPr>
        <w:ind w:left="720" w:hanging="360"/>
      </w:pPr>
    </w:lvl>
    <w:lvl w:ilvl="1">
      <w:start w:val="1"/>
      <w:numFmt w:val="decimal"/>
      <w:lvlText w:val="%2."/>
      <w:lvlJc w:val="left"/>
      <w:pPr>
        <w:ind w:left="2640" w:hanging="1560"/>
      </w:pPr>
      <w:rPr>
        <w:rFonts w:ascii="Calibri" w:hAnsi="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002BC3"/>
    <w:multiLevelType w:val="multilevel"/>
    <w:tmpl w:val="ED1A7D80"/>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
      <w:lvlJc w:val="left"/>
      <w:pPr>
        <w:tabs>
          <w:tab w:val="num" w:pos="1080"/>
        </w:tabs>
        <w:ind w:left="1080" w:hanging="360"/>
      </w:pPr>
      <w:rPr>
        <w:rFonts w:hint="default"/>
        <w:i w:val="0"/>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805570B"/>
    <w:multiLevelType w:val="multilevel"/>
    <w:tmpl w:val="28DA91F0"/>
    <w:lvl w:ilvl="0">
      <w:start w:val="1"/>
      <w:numFmt w:val="decimal"/>
      <w:lvlText w:val="%1."/>
      <w:lvlJc w:val="left"/>
      <w:pPr>
        <w:ind w:left="540" w:hanging="540"/>
      </w:pPr>
      <w:rPr>
        <w:rFonts w:hint="default"/>
      </w:rPr>
    </w:lvl>
    <w:lvl w:ilvl="1">
      <w:start w:val="8"/>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08195510"/>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8E7292D"/>
    <w:multiLevelType w:val="multilevel"/>
    <w:tmpl w:val="9B00D50E"/>
    <w:lvl w:ilvl="0">
      <w:start w:val="1"/>
      <w:numFmt w:val="decimal"/>
      <w:lvlText w:val="%1."/>
      <w:lvlJc w:val="left"/>
      <w:pPr>
        <w:ind w:left="1915" w:hanging="432"/>
      </w:pPr>
      <w:rPr>
        <w:rFonts w:cs="Times New Roman" w:hint="default"/>
      </w:rPr>
    </w:lvl>
    <w:lvl w:ilvl="1">
      <w:start w:val="1"/>
      <w:numFmt w:val="decimal"/>
      <w:lvlText w:val="%1.%2."/>
      <w:lvlJc w:val="left"/>
      <w:pPr>
        <w:ind w:left="2753" w:hanging="720"/>
      </w:pPr>
      <w:rPr>
        <w:rFonts w:cs="Times New Roman" w:hint="default"/>
      </w:rPr>
    </w:lvl>
    <w:lvl w:ilvl="2">
      <w:start w:val="1"/>
      <w:numFmt w:val="decimal"/>
      <w:lvlText w:val="%1.%2.%3."/>
      <w:lvlJc w:val="left"/>
      <w:pPr>
        <w:ind w:left="3193" w:hanging="720"/>
      </w:pPr>
      <w:rPr>
        <w:rFonts w:cs="Times New Roman" w:hint="default"/>
      </w:rPr>
    </w:lvl>
    <w:lvl w:ilvl="3">
      <w:start w:val="1"/>
      <w:numFmt w:val="decimal"/>
      <w:lvlText w:val="%1.%2.%3.%4."/>
      <w:lvlJc w:val="left"/>
      <w:pPr>
        <w:ind w:left="7984" w:hanging="1080"/>
      </w:pPr>
      <w:rPr>
        <w:rFonts w:cs="Times New Roman" w:hint="default"/>
      </w:rPr>
    </w:lvl>
    <w:lvl w:ilvl="4">
      <w:start w:val="1"/>
      <w:numFmt w:val="decimal"/>
      <w:lvlText w:val="%1.%2.%3.%4.%5."/>
      <w:lvlJc w:val="left"/>
      <w:pPr>
        <w:ind w:left="10151" w:hanging="1440"/>
      </w:pPr>
      <w:rPr>
        <w:rFonts w:cs="Times New Roman" w:hint="default"/>
      </w:rPr>
    </w:lvl>
    <w:lvl w:ilvl="5">
      <w:start w:val="1"/>
      <w:numFmt w:val="decimal"/>
      <w:lvlText w:val="%1.%2.%3.%4.%5.%6."/>
      <w:lvlJc w:val="left"/>
      <w:pPr>
        <w:ind w:left="11958" w:hanging="1440"/>
      </w:pPr>
      <w:rPr>
        <w:rFonts w:cs="Times New Roman" w:hint="default"/>
      </w:rPr>
    </w:lvl>
    <w:lvl w:ilvl="6">
      <w:start w:val="1"/>
      <w:numFmt w:val="decimal"/>
      <w:lvlText w:val="%1.%2.%3.%4.%5.%6.%7."/>
      <w:lvlJc w:val="left"/>
      <w:pPr>
        <w:ind w:left="14125" w:hanging="1800"/>
      </w:pPr>
      <w:rPr>
        <w:rFonts w:cs="Times New Roman" w:hint="default"/>
      </w:rPr>
    </w:lvl>
    <w:lvl w:ilvl="7">
      <w:start w:val="1"/>
      <w:numFmt w:val="decimal"/>
      <w:lvlText w:val="%1.%2.%3.%4.%5.%6.%7.%8."/>
      <w:lvlJc w:val="left"/>
      <w:pPr>
        <w:ind w:left="15932" w:hanging="1800"/>
      </w:pPr>
      <w:rPr>
        <w:rFonts w:cs="Times New Roman" w:hint="default"/>
      </w:rPr>
    </w:lvl>
    <w:lvl w:ilvl="8">
      <w:start w:val="1"/>
      <w:numFmt w:val="decimal"/>
      <w:lvlText w:val="%1.%2.%3.%4.%5.%6.%7.%8.%9."/>
      <w:lvlJc w:val="left"/>
      <w:pPr>
        <w:ind w:left="18099" w:hanging="2160"/>
      </w:pPr>
      <w:rPr>
        <w:rFonts w:cs="Times New Roman" w:hint="default"/>
      </w:rPr>
    </w:lvl>
  </w:abstractNum>
  <w:abstractNum w:abstractNumId="7" w15:restartNumberingAfterBreak="0">
    <w:nsid w:val="092A3CFD"/>
    <w:multiLevelType w:val="multilevel"/>
    <w:tmpl w:val="F1F4B6EC"/>
    <w:lvl w:ilvl="0">
      <w:start w:val="1"/>
      <w:numFmt w:val="decimal"/>
      <w:lvlText w:val="%1."/>
      <w:lvlJc w:val="left"/>
      <w:pPr>
        <w:ind w:left="1069" w:hanging="360"/>
      </w:pPr>
    </w:lvl>
    <w:lvl w:ilvl="1">
      <w:start w:val="4"/>
      <w:numFmt w:val="decimal"/>
      <w:isLgl/>
      <w:lvlText w:val="%1.%2."/>
      <w:lvlJc w:val="left"/>
      <w:pPr>
        <w:ind w:left="1809" w:hanging="720"/>
      </w:pPr>
      <w:rPr>
        <w:rFonts w:hint="default"/>
      </w:rPr>
    </w:lvl>
    <w:lvl w:ilvl="2">
      <w:start w:val="4"/>
      <w:numFmt w:val="decimal"/>
      <w:isLgl/>
      <w:lvlText w:val="%1.%2.%3."/>
      <w:lvlJc w:val="left"/>
      <w:pPr>
        <w:ind w:left="218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3309" w:hanging="1080"/>
      </w:pPr>
      <w:rPr>
        <w:rFonts w:hint="default"/>
      </w:rPr>
    </w:lvl>
    <w:lvl w:ilvl="5">
      <w:start w:val="1"/>
      <w:numFmt w:val="decimal"/>
      <w:isLgl/>
      <w:lvlText w:val="%1.%2.%3.%4.%5.%6."/>
      <w:lvlJc w:val="left"/>
      <w:pPr>
        <w:ind w:left="4049" w:hanging="1440"/>
      </w:pPr>
      <w:rPr>
        <w:rFonts w:hint="default"/>
      </w:rPr>
    </w:lvl>
    <w:lvl w:ilvl="6">
      <w:start w:val="1"/>
      <w:numFmt w:val="decimal"/>
      <w:isLgl/>
      <w:lvlText w:val="%1.%2.%3.%4.%5.%6.%7."/>
      <w:lvlJc w:val="left"/>
      <w:pPr>
        <w:ind w:left="4789" w:hanging="1800"/>
      </w:pPr>
      <w:rPr>
        <w:rFonts w:hint="default"/>
      </w:rPr>
    </w:lvl>
    <w:lvl w:ilvl="7">
      <w:start w:val="1"/>
      <w:numFmt w:val="decimal"/>
      <w:isLgl/>
      <w:lvlText w:val="%1.%2.%3.%4.%5.%6.%7.%8."/>
      <w:lvlJc w:val="left"/>
      <w:pPr>
        <w:ind w:left="5169" w:hanging="1800"/>
      </w:pPr>
      <w:rPr>
        <w:rFonts w:hint="default"/>
      </w:rPr>
    </w:lvl>
    <w:lvl w:ilvl="8">
      <w:start w:val="1"/>
      <w:numFmt w:val="decimal"/>
      <w:isLgl/>
      <w:lvlText w:val="%1.%2.%3.%4.%5.%6.%7.%8.%9."/>
      <w:lvlJc w:val="left"/>
      <w:pPr>
        <w:ind w:left="5909" w:hanging="2160"/>
      </w:pPr>
      <w:rPr>
        <w:rFonts w:hint="default"/>
      </w:rPr>
    </w:lvl>
  </w:abstractNum>
  <w:abstractNum w:abstractNumId="8" w15:restartNumberingAfterBreak="0">
    <w:nsid w:val="0AD824DB"/>
    <w:multiLevelType w:val="hybridMultilevel"/>
    <w:tmpl w:val="5A525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B41B6"/>
    <w:multiLevelType w:val="hybridMultilevel"/>
    <w:tmpl w:val="7488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30241"/>
    <w:multiLevelType w:val="multilevel"/>
    <w:tmpl w:val="ED1A7D80"/>
    <w:lvl w:ilvl="0">
      <w:start w:val="1"/>
      <w:numFmt w:val="decimal"/>
      <w:lvlText w:val="%1."/>
      <w:lvlJc w:val="left"/>
      <w:pPr>
        <w:tabs>
          <w:tab w:val="num" w:pos="1069"/>
        </w:tabs>
        <w:ind w:left="1069" w:hanging="360"/>
      </w:pPr>
      <w:rPr>
        <w:rFonts w:hint="default"/>
        <w:b w:val="0"/>
        <w:i w:val="0"/>
        <w:sz w:val="28"/>
        <w:szCs w:val="28"/>
      </w:rPr>
    </w:lvl>
    <w:lvl w:ilvl="1">
      <w:start w:val="1"/>
      <w:numFmt w:val="decimal"/>
      <w:lvlText w:val="%2."/>
      <w:lvlJc w:val="left"/>
      <w:pPr>
        <w:tabs>
          <w:tab w:val="num" w:pos="1789"/>
        </w:tabs>
        <w:ind w:left="1789" w:hanging="360"/>
      </w:pPr>
      <w:rPr>
        <w:rFonts w:hint="default"/>
        <w:i w:val="0"/>
        <w:color w:val="auto"/>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11" w15:restartNumberingAfterBreak="0">
    <w:nsid w:val="162658E8"/>
    <w:multiLevelType w:val="multilevel"/>
    <w:tmpl w:val="F258B4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6C63D3"/>
    <w:multiLevelType w:val="multilevel"/>
    <w:tmpl w:val="EF36A33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4560E2"/>
    <w:multiLevelType w:val="hybridMultilevel"/>
    <w:tmpl w:val="1356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A7866"/>
    <w:multiLevelType w:val="hybridMultilevel"/>
    <w:tmpl w:val="3C40AE8A"/>
    <w:lvl w:ilvl="0" w:tplc="0419000F">
      <w:start w:val="1"/>
      <w:numFmt w:val="decimal"/>
      <w:lvlText w:val="%1."/>
      <w:lvlJc w:val="left"/>
      <w:pPr>
        <w:ind w:left="720" w:hanging="360"/>
      </w:pPr>
    </w:lvl>
    <w:lvl w:ilvl="1" w:tplc="7A383D54">
      <w:start w:val="1"/>
      <w:numFmt w:val="decimal"/>
      <w:lvlText w:val="%2."/>
      <w:lvlJc w:val="left"/>
      <w:pPr>
        <w:ind w:left="2640" w:hanging="1560"/>
      </w:pPr>
      <w:rPr>
        <w:rFonts w:ascii="Calibri" w:hAnsi="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1B5B92"/>
    <w:multiLevelType w:val="hybridMultilevel"/>
    <w:tmpl w:val="933E394E"/>
    <w:lvl w:ilvl="0" w:tplc="418E5B3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E2E62"/>
    <w:multiLevelType w:val="hybridMultilevel"/>
    <w:tmpl w:val="CD6C5BA6"/>
    <w:lvl w:ilvl="0" w:tplc="734C85A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26A40C43"/>
    <w:multiLevelType w:val="multilevel"/>
    <w:tmpl w:val="701EC776"/>
    <w:lvl w:ilvl="0">
      <w:start w:val="1"/>
      <w:numFmt w:val="decimal"/>
      <w:lvlText w:val="%1."/>
      <w:lvlJc w:val="left"/>
      <w:pPr>
        <w:ind w:left="4755"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D66A1C"/>
    <w:multiLevelType w:val="multilevel"/>
    <w:tmpl w:val="E8B885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lvl>
  </w:abstractNum>
  <w:abstractNum w:abstractNumId="19" w15:restartNumberingAfterBreak="0">
    <w:nsid w:val="2C0B61DB"/>
    <w:multiLevelType w:val="hybridMultilevel"/>
    <w:tmpl w:val="D80E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C72C4"/>
    <w:multiLevelType w:val="multilevel"/>
    <w:tmpl w:val="28129BE0"/>
    <w:name w:val="WW8Num702"/>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71A1ED1"/>
    <w:multiLevelType w:val="multilevel"/>
    <w:tmpl w:val="C720BD9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88B76BB"/>
    <w:multiLevelType w:val="multilevel"/>
    <w:tmpl w:val="B1966354"/>
    <w:lvl w:ilvl="0">
      <w:start w:val="1"/>
      <w:numFmt w:val="decimal"/>
      <w:lvlText w:val="%1."/>
      <w:lvlJc w:val="left"/>
      <w:pPr>
        <w:ind w:left="540" w:hanging="540"/>
      </w:pPr>
      <w:rPr>
        <w:rFonts w:hint="default"/>
      </w:rPr>
    </w:lvl>
    <w:lvl w:ilvl="1">
      <w:start w:val="8"/>
      <w:numFmt w:val="decimal"/>
      <w:lvlText w:val="%1.%2."/>
      <w:lvlJc w:val="left"/>
      <w:pPr>
        <w:ind w:left="1254" w:hanging="540"/>
      </w:pPr>
      <w:rPr>
        <w:rFonts w:hint="default"/>
      </w:rPr>
    </w:lvl>
    <w:lvl w:ilvl="2">
      <w:start w:val="1"/>
      <w:numFmt w:val="decimal"/>
      <w:lvlText w:val="4.10.%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397573B5"/>
    <w:multiLevelType w:val="multilevel"/>
    <w:tmpl w:val="7C542DD2"/>
    <w:lvl w:ilvl="0">
      <w:start w:val="1"/>
      <w:numFmt w:val="decimal"/>
      <w:pStyle w:val="1"/>
      <w:lvlText w:val="%1"/>
      <w:lvlJc w:val="left"/>
      <w:pPr>
        <w:ind w:left="716"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15:restartNumberingAfterBreak="0">
    <w:nsid w:val="3D762352"/>
    <w:multiLevelType w:val="multilevel"/>
    <w:tmpl w:val="9AAA07E4"/>
    <w:lvl w:ilvl="0">
      <w:start w:val="4"/>
      <w:numFmt w:val="decimal"/>
      <w:lvlText w:val="%1."/>
      <w:lvlJc w:val="left"/>
      <w:pPr>
        <w:ind w:left="540" w:hanging="540"/>
      </w:pPr>
    </w:lvl>
    <w:lvl w:ilvl="1">
      <w:start w:val="1"/>
      <w:numFmt w:val="decimal"/>
      <w:lvlText w:val="%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E1C0A09"/>
    <w:multiLevelType w:val="hybridMultilevel"/>
    <w:tmpl w:val="49083F2A"/>
    <w:lvl w:ilvl="0" w:tplc="418E5B3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F42DCD"/>
    <w:multiLevelType w:val="hybridMultilevel"/>
    <w:tmpl w:val="BE98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7F4CA7"/>
    <w:multiLevelType w:val="multilevel"/>
    <w:tmpl w:val="0E3684A2"/>
    <w:lvl w:ilvl="0">
      <w:start w:val="1"/>
      <w:numFmt w:val="decimal"/>
      <w:lvlText w:val="%1."/>
      <w:lvlJc w:val="left"/>
      <w:pPr>
        <w:ind w:left="720" w:hanging="720"/>
      </w:pPr>
      <w:rPr>
        <w:rFonts w:cs="Times New Roman" w:hint="default"/>
      </w:rPr>
    </w:lvl>
    <w:lvl w:ilvl="1">
      <w:start w:val="5"/>
      <w:numFmt w:val="decimal"/>
      <w:lvlText w:val="%1.%2."/>
      <w:lvlJc w:val="left"/>
      <w:pPr>
        <w:ind w:left="1338" w:hanging="720"/>
      </w:pPr>
      <w:rPr>
        <w:rFonts w:cs="Times New Roman" w:hint="default"/>
      </w:rPr>
    </w:lvl>
    <w:lvl w:ilvl="2">
      <w:start w:val="3"/>
      <w:numFmt w:val="decimal"/>
      <w:lvlText w:val="%1.%2.%3."/>
      <w:lvlJc w:val="left"/>
      <w:pPr>
        <w:ind w:left="1956" w:hanging="720"/>
      </w:pPr>
      <w:rPr>
        <w:rFonts w:cs="Times New Roman" w:hint="default"/>
      </w:rPr>
    </w:lvl>
    <w:lvl w:ilvl="3">
      <w:start w:val="1"/>
      <w:numFmt w:val="decimal"/>
      <w:lvlText w:val="%1.%2.%3.%4."/>
      <w:lvlJc w:val="left"/>
      <w:pPr>
        <w:ind w:left="2574" w:hanging="720"/>
      </w:pPr>
      <w:rPr>
        <w:rFonts w:cs="Times New Roman" w:hint="default"/>
      </w:rPr>
    </w:lvl>
    <w:lvl w:ilvl="4">
      <w:start w:val="1"/>
      <w:numFmt w:val="decimal"/>
      <w:lvlText w:val="%1.%2.%3.%4.%5."/>
      <w:lvlJc w:val="left"/>
      <w:pPr>
        <w:ind w:left="3552" w:hanging="1080"/>
      </w:pPr>
      <w:rPr>
        <w:rFonts w:cs="Times New Roman" w:hint="default"/>
      </w:rPr>
    </w:lvl>
    <w:lvl w:ilvl="5">
      <w:start w:val="1"/>
      <w:numFmt w:val="decimal"/>
      <w:lvlText w:val="%1.%2.%3.%4.%5.%6."/>
      <w:lvlJc w:val="left"/>
      <w:pPr>
        <w:ind w:left="4170" w:hanging="1080"/>
      </w:pPr>
      <w:rPr>
        <w:rFonts w:cs="Times New Roman" w:hint="default"/>
      </w:rPr>
    </w:lvl>
    <w:lvl w:ilvl="6">
      <w:start w:val="1"/>
      <w:numFmt w:val="decimal"/>
      <w:lvlText w:val="%1.%2.%3.%4.%5.%6.%7."/>
      <w:lvlJc w:val="left"/>
      <w:pPr>
        <w:ind w:left="5148" w:hanging="1440"/>
      </w:pPr>
      <w:rPr>
        <w:rFonts w:cs="Times New Roman" w:hint="default"/>
      </w:rPr>
    </w:lvl>
    <w:lvl w:ilvl="7">
      <w:start w:val="1"/>
      <w:numFmt w:val="decimal"/>
      <w:lvlText w:val="%1.%2.%3.%4.%5.%6.%7.%8."/>
      <w:lvlJc w:val="left"/>
      <w:pPr>
        <w:ind w:left="5766" w:hanging="1440"/>
      </w:pPr>
      <w:rPr>
        <w:rFonts w:cs="Times New Roman" w:hint="default"/>
      </w:rPr>
    </w:lvl>
    <w:lvl w:ilvl="8">
      <w:start w:val="1"/>
      <w:numFmt w:val="decimal"/>
      <w:lvlText w:val="%1.%2.%3.%4.%5.%6.%7.%8.%9."/>
      <w:lvlJc w:val="left"/>
      <w:pPr>
        <w:ind w:left="6744" w:hanging="1800"/>
      </w:pPr>
      <w:rPr>
        <w:rFonts w:cs="Times New Roman" w:hint="default"/>
      </w:rPr>
    </w:lvl>
  </w:abstractNum>
  <w:abstractNum w:abstractNumId="28" w15:restartNumberingAfterBreak="0">
    <w:nsid w:val="520C58A3"/>
    <w:multiLevelType w:val="hybridMultilevel"/>
    <w:tmpl w:val="6FF48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A27995"/>
    <w:multiLevelType w:val="hybridMultilevel"/>
    <w:tmpl w:val="F4F028A4"/>
    <w:lvl w:ilvl="0" w:tplc="2FEAA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52602D"/>
    <w:multiLevelType w:val="hybridMultilevel"/>
    <w:tmpl w:val="BD5C032E"/>
    <w:lvl w:ilvl="0" w:tplc="E66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7822E5"/>
    <w:multiLevelType w:val="multilevel"/>
    <w:tmpl w:val="B3A43BFA"/>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894"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15:restartNumberingAfterBreak="0">
    <w:nsid w:val="61316A71"/>
    <w:multiLevelType w:val="multilevel"/>
    <w:tmpl w:val="5E600848"/>
    <w:lvl w:ilvl="0">
      <w:start w:val="4"/>
      <w:numFmt w:val="decimal"/>
      <w:lvlText w:val="%1."/>
      <w:lvlJc w:val="left"/>
      <w:pPr>
        <w:ind w:left="540" w:hanging="540"/>
      </w:pPr>
      <w:rPr>
        <w:rFonts w:cs="Times New Roman" w:hint="default"/>
      </w:rPr>
    </w:lvl>
    <w:lvl w:ilvl="1">
      <w:start w:val="5"/>
      <w:numFmt w:val="decimal"/>
      <w:lvlText w:val="%1.%2."/>
      <w:lvlJc w:val="left"/>
      <w:pPr>
        <w:ind w:left="894"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3" w15:restartNumberingAfterBreak="0">
    <w:nsid w:val="62D727D8"/>
    <w:multiLevelType w:val="hybridMultilevel"/>
    <w:tmpl w:val="888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CF711E"/>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E063D5A"/>
    <w:multiLevelType w:val="hybridMultilevel"/>
    <w:tmpl w:val="D0D4135E"/>
    <w:lvl w:ilvl="0" w:tplc="3E76C17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62176"/>
    <w:multiLevelType w:val="hybridMultilevel"/>
    <w:tmpl w:val="54CC9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C4018F"/>
    <w:multiLevelType w:val="hybridMultilevel"/>
    <w:tmpl w:val="EFA66E6A"/>
    <w:lvl w:ilvl="0" w:tplc="FFFFFFFF">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712523"/>
    <w:multiLevelType w:val="hybridMultilevel"/>
    <w:tmpl w:val="B202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CB1598"/>
    <w:multiLevelType w:val="hybridMultilevel"/>
    <w:tmpl w:val="1F82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996815"/>
    <w:multiLevelType w:val="multilevel"/>
    <w:tmpl w:val="6E96F9DE"/>
    <w:lvl w:ilvl="0">
      <w:start w:val="4"/>
      <w:numFmt w:val="decimal"/>
      <w:lvlText w:val="%1."/>
      <w:lvlJc w:val="left"/>
      <w:pPr>
        <w:ind w:left="540" w:hanging="540"/>
      </w:pPr>
      <w:rPr>
        <w:rFonts w:cs="Times New Roman" w:hint="default"/>
      </w:rPr>
    </w:lvl>
    <w:lvl w:ilvl="1">
      <w:start w:val="7"/>
      <w:numFmt w:val="decimal"/>
      <w:lvlText w:val="%1.%2."/>
      <w:lvlJc w:val="left"/>
      <w:pPr>
        <w:ind w:left="987" w:hanging="54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2061" w:hanging="720"/>
      </w:pPr>
      <w:rPr>
        <w:rFonts w:cs="Times New Roman" w:hint="default"/>
      </w:rPr>
    </w:lvl>
    <w:lvl w:ilvl="4">
      <w:start w:val="1"/>
      <w:numFmt w:val="decimal"/>
      <w:lvlText w:val="%1.%2.%3.%4.%5."/>
      <w:lvlJc w:val="left"/>
      <w:pPr>
        <w:ind w:left="2868" w:hanging="1080"/>
      </w:pPr>
      <w:rPr>
        <w:rFonts w:cs="Times New Roman" w:hint="default"/>
      </w:rPr>
    </w:lvl>
    <w:lvl w:ilvl="5">
      <w:start w:val="1"/>
      <w:numFmt w:val="decimal"/>
      <w:lvlText w:val="%1.%2.%3.%4.%5.%6."/>
      <w:lvlJc w:val="left"/>
      <w:pPr>
        <w:ind w:left="3315" w:hanging="1080"/>
      </w:pPr>
      <w:rPr>
        <w:rFonts w:cs="Times New Roman" w:hint="default"/>
      </w:rPr>
    </w:lvl>
    <w:lvl w:ilvl="6">
      <w:start w:val="1"/>
      <w:numFmt w:val="decimal"/>
      <w:lvlText w:val="%1.%2.%3.%4.%5.%6.%7."/>
      <w:lvlJc w:val="left"/>
      <w:pPr>
        <w:ind w:left="4122" w:hanging="1440"/>
      </w:pPr>
      <w:rPr>
        <w:rFonts w:cs="Times New Roman" w:hint="default"/>
      </w:rPr>
    </w:lvl>
    <w:lvl w:ilvl="7">
      <w:start w:val="1"/>
      <w:numFmt w:val="decimal"/>
      <w:lvlText w:val="%1.%2.%3.%4.%5.%6.%7.%8."/>
      <w:lvlJc w:val="left"/>
      <w:pPr>
        <w:ind w:left="4569" w:hanging="1440"/>
      </w:pPr>
      <w:rPr>
        <w:rFonts w:cs="Times New Roman" w:hint="default"/>
      </w:rPr>
    </w:lvl>
    <w:lvl w:ilvl="8">
      <w:start w:val="1"/>
      <w:numFmt w:val="decimal"/>
      <w:lvlText w:val="%1.%2.%3.%4.%5.%6.%7.%8.%9."/>
      <w:lvlJc w:val="left"/>
      <w:pPr>
        <w:ind w:left="5376" w:hanging="1800"/>
      </w:pPr>
      <w:rPr>
        <w:rFonts w:cs="Times New Roman" w:hint="default"/>
      </w:rPr>
    </w:lvl>
  </w:abstractNum>
  <w:abstractNum w:abstractNumId="41" w15:restartNumberingAfterBreak="0">
    <w:nsid w:val="7C9B0FF0"/>
    <w:multiLevelType w:val="multilevel"/>
    <w:tmpl w:val="A6EE8BC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sz w:val="19"/>
      </w:rPr>
    </w:lvl>
    <w:lvl w:ilvl="2">
      <w:start w:val="1"/>
      <w:numFmt w:val="decimal"/>
      <w:isLgl/>
      <w:lvlText w:val="%1.%2.%3."/>
      <w:lvlJc w:val="left"/>
      <w:pPr>
        <w:tabs>
          <w:tab w:val="num" w:pos="1855"/>
        </w:tabs>
        <w:ind w:left="1855" w:hanging="720"/>
      </w:pPr>
      <w:rPr>
        <w:rFonts w:cs="Times New Roman" w:hint="default"/>
        <w:sz w:val="28"/>
        <w:szCs w:val="28"/>
      </w:rPr>
    </w:lvl>
    <w:lvl w:ilvl="3">
      <w:start w:val="1"/>
      <w:numFmt w:val="decimal"/>
      <w:isLgl/>
      <w:lvlText w:val="%1.%2.%3.%4."/>
      <w:lvlJc w:val="left"/>
      <w:pPr>
        <w:tabs>
          <w:tab w:val="num" w:pos="1080"/>
        </w:tabs>
        <w:ind w:left="1080" w:hanging="720"/>
      </w:pPr>
      <w:rPr>
        <w:rFonts w:cs="Times New Roman" w:hint="default"/>
        <w:sz w:val="19"/>
      </w:rPr>
    </w:lvl>
    <w:lvl w:ilvl="4">
      <w:start w:val="1"/>
      <w:numFmt w:val="decimal"/>
      <w:isLgl/>
      <w:lvlText w:val="%1.%2.%3.%4.%5."/>
      <w:lvlJc w:val="left"/>
      <w:pPr>
        <w:tabs>
          <w:tab w:val="num" w:pos="1440"/>
        </w:tabs>
        <w:ind w:left="1440" w:hanging="1080"/>
      </w:pPr>
      <w:rPr>
        <w:rFonts w:cs="Times New Roman" w:hint="default"/>
        <w:sz w:val="19"/>
      </w:rPr>
    </w:lvl>
    <w:lvl w:ilvl="5">
      <w:start w:val="1"/>
      <w:numFmt w:val="decimal"/>
      <w:isLgl/>
      <w:lvlText w:val="%1.%2.%3.%4.%5.%6."/>
      <w:lvlJc w:val="left"/>
      <w:pPr>
        <w:tabs>
          <w:tab w:val="num" w:pos="1440"/>
        </w:tabs>
        <w:ind w:left="1440" w:hanging="1080"/>
      </w:pPr>
      <w:rPr>
        <w:rFonts w:cs="Times New Roman" w:hint="default"/>
        <w:sz w:val="19"/>
      </w:rPr>
    </w:lvl>
    <w:lvl w:ilvl="6">
      <w:start w:val="1"/>
      <w:numFmt w:val="decimal"/>
      <w:isLgl/>
      <w:lvlText w:val="%1.%2.%3.%4.%5.%6.%7."/>
      <w:lvlJc w:val="left"/>
      <w:pPr>
        <w:tabs>
          <w:tab w:val="num" w:pos="1800"/>
        </w:tabs>
        <w:ind w:left="1800" w:hanging="1440"/>
      </w:pPr>
      <w:rPr>
        <w:rFonts w:cs="Times New Roman" w:hint="default"/>
        <w:sz w:val="19"/>
      </w:rPr>
    </w:lvl>
    <w:lvl w:ilvl="7">
      <w:start w:val="1"/>
      <w:numFmt w:val="decimal"/>
      <w:isLgl/>
      <w:lvlText w:val="%1.%2.%3.%4.%5.%6.%7.%8."/>
      <w:lvlJc w:val="left"/>
      <w:pPr>
        <w:tabs>
          <w:tab w:val="num" w:pos="1800"/>
        </w:tabs>
        <w:ind w:left="1800" w:hanging="1440"/>
      </w:pPr>
      <w:rPr>
        <w:rFonts w:cs="Times New Roman" w:hint="default"/>
        <w:sz w:val="19"/>
      </w:rPr>
    </w:lvl>
    <w:lvl w:ilvl="8">
      <w:start w:val="1"/>
      <w:numFmt w:val="decimal"/>
      <w:isLgl/>
      <w:lvlText w:val="%1.%2.%3.%4.%5.%6.%7.%8.%9."/>
      <w:lvlJc w:val="left"/>
      <w:pPr>
        <w:tabs>
          <w:tab w:val="num" w:pos="1800"/>
        </w:tabs>
        <w:ind w:left="1800" w:hanging="1440"/>
      </w:pPr>
      <w:rPr>
        <w:rFonts w:cs="Times New Roman" w:hint="default"/>
        <w:sz w:val="19"/>
      </w:rPr>
    </w:lvl>
  </w:abstractNum>
  <w:abstractNum w:abstractNumId="42" w15:restartNumberingAfterBreak="0">
    <w:nsid w:val="7D667A0B"/>
    <w:multiLevelType w:val="multilevel"/>
    <w:tmpl w:val="28129BE0"/>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F104CAB"/>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11"/>
  </w:num>
  <w:num w:numId="3">
    <w:abstractNumId w:val="9"/>
  </w:num>
  <w:num w:numId="4">
    <w:abstractNumId w:val="41"/>
  </w:num>
  <w:num w:numId="5">
    <w:abstractNumId w:val="29"/>
  </w:num>
  <w:num w:numId="6">
    <w:abstractNumId w:val="16"/>
  </w:num>
  <w:num w:numId="7">
    <w:abstractNumId w:val="30"/>
  </w:num>
  <w:num w:numId="8">
    <w:abstractNumId w:val="23"/>
  </w:num>
  <w:num w:numId="9">
    <w:abstractNumId w:val="40"/>
  </w:num>
  <w:num w:numId="10">
    <w:abstractNumId w:val="35"/>
  </w:num>
  <w:num w:numId="11">
    <w:abstractNumId w:val="36"/>
  </w:num>
  <w:num w:numId="12">
    <w:abstractNumId w:val="28"/>
  </w:num>
  <w:num w:numId="13">
    <w:abstractNumId w:val="33"/>
  </w:num>
  <w:num w:numId="1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6"/>
  </w:num>
  <w:num w:numId="18">
    <w:abstractNumId w:val="32"/>
  </w:num>
  <w:num w:numId="19">
    <w:abstractNumId w:val="31"/>
  </w:num>
  <w:num w:numId="20">
    <w:abstractNumId w:val="20"/>
  </w:num>
  <w:num w:numId="21">
    <w:abstractNumId w:val="14"/>
  </w:num>
  <w:num w:numId="22">
    <w:abstractNumId w:val="7"/>
  </w:num>
  <w:num w:numId="23">
    <w:abstractNumId w:val="39"/>
  </w:num>
  <w:num w:numId="24">
    <w:abstractNumId w:val="42"/>
  </w:num>
  <w:num w:numId="25">
    <w:abstractNumId w:val="37"/>
  </w:num>
  <w:num w:numId="26">
    <w:abstractNumId w:val="27"/>
  </w:num>
  <w:num w:numId="27">
    <w:abstractNumId w:val="18"/>
  </w:num>
  <w:num w:numId="28">
    <w:abstractNumId w:val="0"/>
  </w:num>
  <w:num w:numId="29">
    <w:abstractNumId w:val="43"/>
  </w:num>
  <w:num w:numId="30">
    <w:abstractNumId w:val="15"/>
  </w:num>
  <w:num w:numId="31">
    <w:abstractNumId w:val="21"/>
  </w:num>
  <w:num w:numId="32">
    <w:abstractNumId w:val="1"/>
  </w:num>
  <w:num w:numId="33">
    <w:abstractNumId w:val="3"/>
  </w:num>
  <w:num w:numId="34">
    <w:abstractNumId w:val="5"/>
  </w:num>
  <w:num w:numId="35">
    <w:abstractNumId w:val="2"/>
  </w:num>
  <w:num w:numId="36">
    <w:abstractNumId w:val="38"/>
  </w:num>
  <w:num w:numId="37">
    <w:abstractNumId w:val="22"/>
  </w:num>
  <w:num w:numId="38">
    <w:abstractNumId w:val="4"/>
  </w:num>
  <w:num w:numId="39">
    <w:abstractNumId w:val="34"/>
  </w:num>
  <w:num w:numId="40">
    <w:abstractNumId w:val="25"/>
  </w:num>
  <w:num w:numId="41">
    <w:abstractNumId w:val="26"/>
  </w:num>
  <w:num w:numId="42">
    <w:abstractNumId w:val="10"/>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72"/>
    <w:rsid w:val="00010C63"/>
    <w:rsid w:val="00033067"/>
    <w:rsid w:val="00044970"/>
    <w:rsid w:val="000638A8"/>
    <w:rsid w:val="000823B8"/>
    <w:rsid w:val="000C5E55"/>
    <w:rsid w:val="000D5AB6"/>
    <w:rsid w:val="0010486A"/>
    <w:rsid w:val="00130BDF"/>
    <w:rsid w:val="0013625A"/>
    <w:rsid w:val="001A068D"/>
    <w:rsid w:val="00233772"/>
    <w:rsid w:val="00246ECA"/>
    <w:rsid w:val="002739A4"/>
    <w:rsid w:val="002A23C3"/>
    <w:rsid w:val="002B060E"/>
    <w:rsid w:val="002D3F76"/>
    <w:rsid w:val="002D6BCB"/>
    <w:rsid w:val="002F12C2"/>
    <w:rsid w:val="00332669"/>
    <w:rsid w:val="003818CA"/>
    <w:rsid w:val="00383B97"/>
    <w:rsid w:val="00397AC8"/>
    <w:rsid w:val="003C7463"/>
    <w:rsid w:val="00407889"/>
    <w:rsid w:val="00412622"/>
    <w:rsid w:val="00421021"/>
    <w:rsid w:val="00436043"/>
    <w:rsid w:val="00446A10"/>
    <w:rsid w:val="004474C6"/>
    <w:rsid w:val="00464BF4"/>
    <w:rsid w:val="00485EA8"/>
    <w:rsid w:val="004C0661"/>
    <w:rsid w:val="004E35DB"/>
    <w:rsid w:val="004F70BE"/>
    <w:rsid w:val="00507AAE"/>
    <w:rsid w:val="0052452C"/>
    <w:rsid w:val="00535824"/>
    <w:rsid w:val="00581E2B"/>
    <w:rsid w:val="0058648E"/>
    <w:rsid w:val="005A1529"/>
    <w:rsid w:val="00603D1A"/>
    <w:rsid w:val="006170B3"/>
    <w:rsid w:val="0065436D"/>
    <w:rsid w:val="00657F07"/>
    <w:rsid w:val="006B3411"/>
    <w:rsid w:val="006F7DA8"/>
    <w:rsid w:val="006F7DBB"/>
    <w:rsid w:val="00704BF4"/>
    <w:rsid w:val="0071062F"/>
    <w:rsid w:val="0072693E"/>
    <w:rsid w:val="00730C11"/>
    <w:rsid w:val="007476FD"/>
    <w:rsid w:val="00750ABC"/>
    <w:rsid w:val="007816CE"/>
    <w:rsid w:val="007F069C"/>
    <w:rsid w:val="00800E10"/>
    <w:rsid w:val="00835EA9"/>
    <w:rsid w:val="008676A8"/>
    <w:rsid w:val="008A0CA9"/>
    <w:rsid w:val="008A4208"/>
    <w:rsid w:val="008C5876"/>
    <w:rsid w:val="0090181C"/>
    <w:rsid w:val="00913733"/>
    <w:rsid w:val="0092378F"/>
    <w:rsid w:val="0093217F"/>
    <w:rsid w:val="009D11CE"/>
    <w:rsid w:val="00A2031D"/>
    <w:rsid w:val="00A44A46"/>
    <w:rsid w:val="00A56056"/>
    <w:rsid w:val="00A81076"/>
    <w:rsid w:val="00B03408"/>
    <w:rsid w:val="00B2554C"/>
    <w:rsid w:val="00BA794B"/>
    <w:rsid w:val="00BA7F73"/>
    <w:rsid w:val="00BC4B09"/>
    <w:rsid w:val="00BD3889"/>
    <w:rsid w:val="00C04C44"/>
    <w:rsid w:val="00C17710"/>
    <w:rsid w:val="00C230C0"/>
    <w:rsid w:val="00C339D5"/>
    <w:rsid w:val="00CA05D3"/>
    <w:rsid w:val="00CB3406"/>
    <w:rsid w:val="00CC6478"/>
    <w:rsid w:val="00CD7081"/>
    <w:rsid w:val="00D221DB"/>
    <w:rsid w:val="00E0533B"/>
    <w:rsid w:val="00E30762"/>
    <w:rsid w:val="00EB10B1"/>
    <w:rsid w:val="00EC7594"/>
    <w:rsid w:val="00EE6641"/>
    <w:rsid w:val="00EE7F93"/>
    <w:rsid w:val="00F61314"/>
    <w:rsid w:val="00FC66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E39F5"/>
  <w15:docId w15:val="{313F58AD-AD9D-4467-AD65-C9E2653D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07AAE"/>
    <w:pPr>
      <w:keepNext/>
      <w:keepLines/>
      <w:numPr>
        <w:numId w:val="8"/>
      </w:numPr>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507AAE"/>
    <w:pPr>
      <w:keepNext/>
      <w:keepLines/>
      <w:numPr>
        <w:ilvl w:val="1"/>
        <w:numId w:val="8"/>
      </w:numPr>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507AAE"/>
    <w:pPr>
      <w:keepNext/>
      <w:keepLines/>
      <w:numPr>
        <w:ilvl w:val="2"/>
        <w:numId w:val="8"/>
      </w:numPr>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507AAE"/>
    <w:pPr>
      <w:keepNext/>
      <w:keepLines/>
      <w:numPr>
        <w:ilvl w:val="3"/>
        <w:numId w:val="8"/>
      </w:numPr>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507AAE"/>
    <w:pPr>
      <w:keepNext/>
      <w:keepLines/>
      <w:numPr>
        <w:ilvl w:val="4"/>
        <w:numId w:val="8"/>
      </w:numPr>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qFormat/>
    <w:rsid w:val="00507AAE"/>
    <w:pPr>
      <w:keepNext/>
      <w:keepLines/>
      <w:numPr>
        <w:ilvl w:val="5"/>
        <w:numId w:val="8"/>
      </w:numPr>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507AAE"/>
    <w:pPr>
      <w:keepNext/>
      <w:keepLines/>
      <w:numPr>
        <w:ilvl w:val="6"/>
        <w:numId w:val="8"/>
      </w:numPr>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507AAE"/>
    <w:pPr>
      <w:keepNext/>
      <w:keepLines/>
      <w:numPr>
        <w:ilvl w:val="7"/>
        <w:numId w:val="8"/>
      </w:numPr>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507AAE"/>
    <w:pPr>
      <w:keepNext/>
      <w:keepLines/>
      <w:numPr>
        <w:ilvl w:val="8"/>
        <w:numId w:val="8"/>
      </w:numPr>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823B8"/>
    <w:pPr>
      <w:ind w:left="720"/>
      <w:contextualSpacing/>
    </w:pPr>
  </w:style>
  <w:style w:type="paragraph" w:styleId="a5">
    <w:name w:val="footer"/>
    <w:basedOn w:val="a"/>
    <w:link w:val="a6"/>
    <w:uiPriority w:val="99"/>
    <w:rsid w:val="002A23C3"/>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2A23C3"/>
    <w:rPr>
      <w:rFonts w:ascii="Calibri" w:eastAsia="Times New Roman" w:hAnsi="Calibri" w:cs="Times New Roman"/>
      <w:lang w:eastAsia="ru-RU"/>
    </w:rPr>
  </w:style>
  <w:style w:type="character" w:customStyle="1" w:styleId="81">
    <w:name w:val="Основной текст (8)_"/>
    <w:basedOn w:val="a0"/>
    <w:link w:val="82"/>
    <w:uiPriority w:val="99"/>
    <w:locked/>
    <w:rsid w:val="00507AAE"/>
    <w:rPr>
      <w:rFonts w:ascii="Microsoft Sans Serif" w:hAnsi="Microsoft Sans Serif" w:cs="Times New Roman"/>
      <w:sz w:val="8"/>
      <w:szCs w:val="8"/>
      <w:shd w:val="clear" w:color="auto" w:fill="FFFFFF"/>
    </w:rPr>
  </w:style>
  <w:style w:type="paragraph" w:customStyle="1" w:styleId="82">
    <w:name w:val="Основной текст (8)"/>
    <w:basedOn w:val="a"/>
    <w:link w:val="81"/>
    <w:uiPriority w:val="99"/>
    <w:rsid w:val="00507AAE"/>
    <w:pPr>
      <w:shd w:val="clear" w:color="auto" w:fill="FFFFFF"/>
      <w:spacing w:after="0" w:line="98" w:lineRule="exact"/>
      <w:jc w:val="both"/>
    </w:pPr>
    <w:rPr>
      <w:rFonts w:ascii="Microsoft Sans Serif" w:hAnsi="Microsoft Sans Serif" w:cs="Times New Roman"/>
      <w:sz w:val="8"/>
      <w:szCs w:val="8"/>
    </w:rPr>
  </w:style>
  <w:style w:type="character" w:customStyle="1" w:styleId="10">
    <w:name w:val="Заголовок 1 Знак"/>
    <w:basedOn w:val="a0"/>
    <w:link w:val="1"/>
    <w:uiPriority w:val="99"/>
    <w:rsid w:val="00507AA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07AA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07AAE"/>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507AA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507AAE"/>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507AAE"/>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507AAE"/>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507AAE"/>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507AAE"/>
    <w:rPr>
      <w:rFonts w:ascii="Cambria" w:eastAsia="Times New Roman" w:hAnsi="Cambria" w:cs="Times New Roman"/>
      <w:i/>
      <w:iCs/>
      <w:color w:val="404040"/>
      <w:sz w:val="20"/>
      <w:szCs w:val="20"/>
      <w:lang w:eastAsia="ru-RU"/>
    </w:rPr>
  </w:style>
  <w:style w:type="paragraph" w:customStyle="1" w:styleId="a7">
    <w:name w:val="Стиль"/>
    <w:rsid w:val="0071062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99"/>
    <w:locked/>
    <w:rsid w:val="00BA7F73"/>
  </w:style>
  <w:style w:type="character" w:styleId="a8">
    <w:name w:val="Strong"/>
    <w:basedOn w:val="a0"/>
    <w:uiPriority w:val="99"/>
    <w:qFormat/>
    <w:rsid w:val="003818CA"/>
    <w:rPr>
      <w:b/>
      <w:bCs/>
    </w:rPr>
  </w:style>
  <w:style w:type="paragraph" w:customStyle="1" w:styleId="Default">
    <w:name w:val="Default"/>
    <w:rsid w:val="00835EA9"/>
    <w:pPr>
      <w:autoSpaceDE w:val="0"/>
      <w:autoSpaceDN w:val="0"/>
      <w:adjustRightInd w:val="0"/>
      <w:spacing w:after="0" w:line="240" w:lineRule="auto"/>
      <w:jc w:val="both"/>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6681">
      <w:bodyDiv w:val="1"/>
      <w:marLeft w:val="0"/>
      <w:marRight w:val="0"/>
      <w:marTop w:val="0"/>
      <w:marBottom w:val="0"/>
      <w:divBdr>
        <w:top w:val="none" w:sz="0" w:space="0" w:color="auto"/>
        <w:left w:val="none" w:sz="0" w:space="0" w:color="auto"/>
        <w:bottom w:val="none" w:sz="0" w:space="0" w:color="auto"/>
        <w:right w:val="none" w:sz="0" w:space="0" w:color="auto"/>
      </w:divBdr>
    </w:div>
    <w:div w:id="915014844">
      <w:bodyDiv w:val="1"/>
      <w:marLeft w:val="0"/>
      <w:marRight w:val="0"/>
      <w:marTop w:val="0"/>
      <w:marBottom w:val="0"/>
      <w:divBdr>
        <w:top w:val="none" w:sz="0" w:space="0" w:color="auto"/>
        <w:left w:val="none" w:sz="0" w:space="0" w:color="auto"/>
        <w:bottom w:val="none" w:sz="0" w:space="0" w:color="auto"/>
        <w:right w:val="none" w:sz="0" w:space="0" w:color="auto"/>
      </w:divBdr>
    </w:div>
    <w:div w:id="1008484573">
      <w:bodyDiv w:val="1"/>
      <w:marLeft w:val="0"/>
      <w:marRight w:val="0"/>
      <w:marTop w:val="0"/>
      <w:marBottom w:val="0"/>
      <w:divBdr>
        <w:top w:val="none" w:sz="0" w:space="0" w:color="auto"/>
        <w:left w:val="none" w:sz="0" w:space="0" w:color="auto"/>
        <w:bottom w:val="none" w:sz="0" w:space="0" w:color="auto"/>
        <w:right w:val="none" w:sz="0" w:space="0" w:color="auto"/>
      </w:divBdr>
    </w:div>
    <w:div w:id="1308975323">
      <w:bodyDiv w:val="1"/>
      <w:marLeft w:val="0"/>
      <w:marRight w:val="0"/>
      <w:marTop w:val="0"/>
      <w:marBottom w:val="0"/>
      <w:divBdr>
        <w:top w:val="none" w:sz="0" w:space="0" w:color="auto"/>
        <w:left w:val="none" w:sz="0" w:space="0" w:color="auto"/>
        <w:bottom w:val="none" w:sz="0" w:space="0" w:color="auto"/>
        <w:right w:val="none" w:sz="0" w:space="0" w:color="auto"/>
      </w:divBdr>
    </w:div>
    <w:div w:id="1461419169">
      <w:bodyDiv w:val="1"/>
      <w:marLeft w:val="0"/>
      <w:marRight w:val="0"/>
      <w:marTop w:val="0"/>
      <w:marBottom w:val="0"/>
      <w:divBdr>
        <w:top w:val="none" w:sz="0" w:space="0" w:color="auto"/>
        <w:left w:val="none" w:sz="0" w:space="0" w:color="auto"/>
        <w:bottom w:val="none" w:sz="0" w:space="0" w:color="auto"/>
        <w:right w:val="none" w:sz="0" w:space="0" w:color="auto"/>
      </w:divBdr>
    </w:div>
    <w:div w:id="17474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Баирампас</dc:creator>
  <cp:keywords/>
  <dc:description/>
  <cp:lastModifiedBy>user</cp:lastModifiedBy>
  <cp:revision>12</cp:revision>
  <dcterms:created xsi:type="dcterms:W3CDTF">2019-05-29T14:40:00Z</dcterms:created>
  <dcterms:modified xsi:type="dcterms:W3CDTF">2019-06-27T12:15:00Z</dcterms:modified>
</cp:coreProperties>
</file>