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D0C" w14:textId="0272644F" w:rsidR="00F6234F" w:rsidRDefault="00F6234F" w:rsidP="00F6234F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CF6A27" wp14:editId="797ECCB7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758430" cy="10744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ab/>
      </w:r>
    </w:p>
    <w:tbl>
      <w:tblPr>
        <w:tblpPr w:leftFromText="180" w:rightFromText="180" w:vertAnchor="text" w:horzAnchor="page" w:tblpX="5590" w:tblpY="-591"/>
        <w:tblOverlap w:val="never"/>
        <w:tblW w:w="0" w:type="auto"/>
        <w:tblLook w:val="00A0" w:firstRow="1" w:lastRow="0" w:firstColumn="1" w:lastColumn="0" w:noHBand="0" w:noVBand="0"/>
      </w:tblPr>
      <w:tblGrid>
        <w:gridCol w:w="6313"/>
      </w:tblGrid>
      <w:tr w:rsidR="00F6234F" w:rsidRPr="0022638D" w14:paraId="02C36A0E" w14:textId="77777777" w:rsidTr="00F6234F">
        <w:tc>
          <w:tcPr>
            <w:tcW w:w="6313" w:type="dxa"/>
          </w:tcPr>
          <w:p w14:paraId="7C65B03A" w14:textId="77777777" w:rsidR="00F6234F" w:rsidRPr="000B619B" w:rsidRDefault="00F6234F" w:rsidP="00F6234F">
            <w:pPr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B6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bookmarkEnd w:id="0"/>
          <w:p w14:paraId="6426A684" w14:textId="77777777" w:rsidR="00F6234F" w:rsidRPr="006960A0" w:rsidRDefault="00F6234F" w:rsidP="00F6234F">
            <w:pPr>
              <w:pStyle w:val="Default"/>
              <w:tabs>
                <w:tab w:val="left" w:pos="6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60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39CF0320" w14:textId="3EDCDF84" w:rsidR="00F6234F" w:rsidRPr="006960A0" w:rsidRDefault="00924E60" w:rsidP="00F6234F">
            <w:pPr>
              <w:pStyle w:val="Default"/>
              <w:tabs>
                <w:tab w:val="left" w:pos="609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A0A92" wp14:editId="206431F2">
                  <wp:extent cx="1129665" cy="455930"/>
                  <wp:effectExtent l="0" t="0" r="0" b="0"/>
                  <wp:docPr id="1" name="Рисунок 1" descr="C:\Users\Anna\AppData\Local\Microsoft\Windows\INetCache\Content.Word\Соболева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nna\AppData\Local\Microsoft\Windows\INetCache\Content.Word\Соболев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6234F">
              <w:rPr>
                <w:rFonts w:ascii="Times New Roman" w:hAnsi="Times New Roman" w:cs="Times New Roman"/>
                <w:sz w:val="28"/>
                <w:szCs w:val="28"/>
              </w:rPr>
              <w:t>Э.Ю. Соболева</w:t>
            </w:r>
          </w:p>
          <w:p w14:paraId="55B7AF0D" w14:textId="77777777" w:rsidR="00F6234F" w:rsidRPr="006960A0" w:rsidRDefault="00F6234F" w:rsidP="00F6234F">
            <w:pPr>
              <w:pStyle w:val="Default"/>
              <w:tabs>
                <w:tab w:val="left" w:pos="6096"/>
              </w:tabs>
              <w:spacing w:before="12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552BD91" w14:textId="27D60422" w:rsidR="00605A5D" w:rsidRDefault="00605A5D" w:rsidP="00F6234F">
      <w:pPr>
        <w:tabs>
          <w:tab w:val="left" w:pos="3940"/>
        </w:tabs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123F3C18" w14:textId="77777777" w:rsidR="00605A5D" w:rsidRDefault="00605A5D" w:rsidP="00605A5D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1EF12516" w14:textId="5BFC8B21" w:rsidR="00605A5D" w:rsidRDefault="00605A5D" w:rsidP="00605A5D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24287198" w14:textId="77777777" w:rsidR="00605A5D" w:rsidRDefault="00605A5D" w:rsidP="00605A5D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3E9A9B53" w14:textId="77777777" w:rsidR="00605A5D" w:rsidRDefault="00605A5D" w:rsidP="00605A5D">
      <w:pPr>
        <w:spacing w:after="0" w:line="276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14:paraId="58128CCD" w14:textId="5839A12E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F846C5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Аналитический отчет о результатах внешней оценки образовательных программ по итогам 201</w:t>
      </w:r>
      <w:r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8</w:t>
      </w:r>
      <w:r w:rsidRPr="00F846C5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 xml:space="preserve"> года</w:t>
      </w:r>
    </w:p>
    <w:p w14:paraId="199B96E7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00F8EE91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68E4F190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321406B1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45519063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651D08DE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14:paraId="5654360D" w14:textId="77777777" w:rsidR="00F6234F" w:rsidRDefault="00F6234F" w:rsidP="00F623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EA23DC" w14:textId="1ADDDDBB" w:rsidR="00F6234F" w:rsidRDefault="00F6234F" w:rsidP="00F62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F84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– 201</w:t>
      </w:r>
      <w:bookmarkStart w:id="1" w:name="id_gjdgxs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14:paraId="6EDDFE05" w14:textId="4C901CDC" w:rsidR="00605A5D" w:rsidRDefault="00605A5D">
      <w:pPr>
        <w:rPr>
          <w:rFonts w:ascii="Times New Roman" w:hAnsi="Times New Roman" w:cs="Times New Roman"/>
          <w:b/>
          <w:sz w:val="28"/>
          <w:szCs w:val="28"/>
        </w:rPr>
      </w:pPr>
    </w:p>
    <w:p w14:paraId="7E7CFAE9" w14:textId="7D9C43B2" w:rsidR="000823B8" w:rsidRDefault="000823B8" w:rsidP="001A068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8D">
        <w:rPr>
          <w:rFonts w:ascii="Times New Roman" w:hAnsi="Times New Roman" w:cs="Times New Roman"/>
          <w:b/>
          <w:sz w:val="28"/>
          <w:szCs w:val="28"/>
        </w:rPr>
        <w:lastRenderedPageBreak/>
        <w:t>Обзор основных факторов, определявших развитие системы профессионального образования в Р</w:t>
      </w:r>
      <w:r w:rsidR="00996670">
        <w:rPr>
          <w:rFonts w:ascii="Times New Roman" w:hAnsi="Times New Roman" w:cs="Times New Roman"/>
          <w:b/>
          <w:sz w:val="28"/>
          <w:szCs w:val="28"/>
        </w:rPr>
        <w:t>оссийской Федерации в 201</w:t>
      </w:r>
      <w:r w:rsidR="002D4404" w:rsidRPr="002D4404">
        <w:rPr>
          <w:rFonts w:ascii="Times New Roman" w:hAnsi="Times New Roman" w:cs="Times New Roman"/>
          <w:b/>
          <w:sz w:val="28"/>
          <w:szCs w:val="28"/>
        </w:rPr>
        <w:t>8</w:t>
      </w:r>
      <w:r w:rsidR="009966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C3567B8" w14:textId="77777777" w:rsidR="003D4F74" w:rsidRPr="00653B1E" w:rsidRDefault="003D4F74" w:rsidP="003D4F74">
      <w:pPr>
        <w:rPr>
          <w:rFonts w:ascii="Times New Roman" w:hAnsi="Times New Roman" w:cs="Times New Roman"/>
          <w:b/>
          <w:sz w:val="28"/>
          <w:szCs w:val="28"/>
        </w:rPr>
      </w:pPr>
      <w:r w:rsidRPr="00653B1E">
        <w:rPr>
          <w:rFonts w:ascii="Times New Roman" w:hAnsi="Times New Roman" w:cs="Times New Roman"/>
          <w:b/>
          <w:sz w:val="28"/>
          <w:szCs w:val="28"/>
        </w:rPr>
        <w:t>Высшее образование</w:t>
      </w:r>
    </w:p>
    <w:p w14:paraId="37D8CA0C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Минобрнауки России в период с 2017 по 2018 годы по ряду направлений подготовки и специальностей утвердило Федеральные государственные образовательные стандарты высшего образования, актуализированные в соответствии с Федеральным законом N 122-ФЗ на основе профессиональных стандартов (ФГОС 3++).</w:t>
      </w:r>
    </w:p>
    <w:p w14:paraId="12CBFDC9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Приказами Минобрнауки России об утверждении ФГОС 3++ установлено, что прием на обучение в соответствии с предшествующими ФГОС (ФГОС 3+) прекращается 31 декабря 2018 г. В соответствии с этим, начиная с 1 января 2019 г. организации, осуществляющие образовательную деятельность, осуществляют прием на обучение на первый курс только в соответствии с ФГОС 3++.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1E">
        <w:rPr>
          <w:rFonts w:ascii="Times New Roman" w:hAnsi="Times New Roman" w:cs="Times New Roman"/>
          <w:sz w:val="28"/>
          <w:szCs w:val="28"/>
        </w:rPr>
        <w:t>В то же время по ряду направлений подготовки и специальностей отсутствуют утвержденные ФГОС 3++, в связи с чем по ним продолжается прием на обучение и образовательный процесс в соответствии с ФГОС 3+.</w:t>
      </w:r>
    </w:p>
    <w:p w14:paraId="36D3D02D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 xml:space="preserve">Сохраняется приоритетность повышения конкурентоспособности российских вузов на международном уровне. В связи с этим продолжается реализация проекта 5-100, призванного способствовать наращиванию научно-исследовательского потенциала российских университетов, укреплению их конкурентных позиций на глобальном рынке образовательных услуг. </w:t>
      </w:r>
    </w:p>
    <w:p w14:paraId="76E6251D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На основании промежуточных итогов реализации проекта, подведенных в 2018 году, объявлено о том, что число представленных в мировых рейтингах вузов РФ за шесть лет (2012-2018 гг.) выросло в три раза. В топ-500 наиболее авторитетных мировых рейтингов: Academic Ranking of World Universities, QS World University Rankings и Times Higher Education World University Rankings – представлено 28 российских университетов, тогда как в 2012 году таких университетов было только 7. Речь идет и об институциональных, и о предметных (отраслевых) рейтингах. Сегодня в топ-500 глобальных рейтингов Россию представляют 15 ведущих университетов, в топ-200 ведущих предметных (отраслевых) мировых рейтингов входят 19 университетов, в топ-100 – 11.</w:t>
      </w:r>
    </w:p>
    <w:p w14:paraId="762AB069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В рамках работы по проекту «Современная цифровая образовательная среда в Российской Федерации»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B1E">
        <w:rPr>
          <w:rFonts w:ascii="Times New Roman" w:hAnsi="Times New Roman" w:cs="Times New Roman"/>
          <w:sz w:val="28"/>
          <w:szCs w:val="28"/>
        </w:rPr>
        <w:t xml:space="preserve">г. усовершенствованы сервисы ресурса «одного окна», основой которого являются онлайн-курсы, созданные профессорами ведущих университетов России и специалистами компаний-лидеров рынка онлайн-обучения. По состоянию на конец 2018 года на портале-агрегаторе online.edu.ru организован доступ более чем к тысяче онлайн-курсов, подключено более 30 платформ онлайн-обучения, а общее </w:t>
      </w:r>
      <w:r w:rsidRPr="00653B1E">
        <w:rPr>
          <w:rFonts w:ascii="Times New Roman" w:hAnsi="Times New Roman" w:cs="Times New Roman"/>
          <w:sz w:val="28"/>
          <w:szCs w:val="28"/>
        </w:rPr>
        <w:lastRenderedPageBreak/>
        <w:t>число зарегистрированных слушателей превышает 700 тысяч человек, включая студентов около 170 образовательных организаций высшего и среднего профессионального образования.</w:t>
      </w:r>
    </w:p>
    <w:p w14:paraId="5EBE951E" w14:textId="77777777" w:rsidR="003D4F74" w:rsidRPr="00653B1E" w:rsidRDefault="003D4F74" w:rsidP="003D4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1E">
        <w:rPr>
          <w:rFonts w:ascii="Times New Roman" w:hAnsi="Times New Roman" w:cs="Times New Roman"/>
          <w:b/>
          <w:sz w:val="28"/>
          <w:szCs w:val="28"/>
        </w:rPr>
        <w:t>Среднее профессиональное образование</w:t>
      </w:r>
    </w:p>
    <w:p w14:paraId="506B8C2B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В 2018 году велась работа  по актуализации  федеральных государственных стандартов СПО в связи с выходом новых  профессиональных стандартов.  Прием на обучение в соответствии с действующими ранее федеральными государственными образовательными стандартами среднего профессионального образования  прекратился 1 сентября 2018 года.</w:t>
      </w:r>
    </w:p>
    <w:p w14:paraId="48ED3985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 xml:space="preserve">В Перечень поручений Президента Российской Федерации от 22 февраля 2018 г. № 321ГС вошло поручение обеспечить внедрение программы модернизации образовательных организаций, реализующих образовательные программы среднего профессионального образования, в целях устранения дефицита квалифицированных рабочих кадров.  Необходимость реализации такой программы обусловлена тем, что значительная часть программ СПО утратили актуальность, а инфраструктура СПО характеризуется низким уровнем развития. </w:t>
      </w:r>
    </w:p>
    <w:p w14:paraId="4FC46C5F" w14:textId="77777777" w:rsidR="003D4F74" w:rsidRPr="00653B1E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 xml:space="preserve">Внедрение программы модернизации началось в 2018 году. Модели кадрового обеспечения, апробированные в 20 пилотных регионах, в рамках регионального стандарта кадрового обеспечения промышленного роста, в настоящее время транслируются Агентством стратегических инициатив по продвижению новых проектов в другие субъекты Российской Федерации. </w:t>
      </w:r>
    </w:p>
    <w:p w14:paraId="3D7E562C" w14:textId="77777777" w:rsidR="003D4F74" w:rsidRPr="00653B1E" w:rsidRDefault="003D4F74" w:rsidP="003D4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B1E">
        <w:rPr>
          <w:rFonts w:ascii="Times New Roman" w:hAnsi="Times New Roman" w:cs="Times New Roman"/>
          <w:b/>
          <w:sz w:val="28"/>
          <w:szCs w:val="28"/>
        </w:rPr>
        <w:t>Оценка качества образования</w:t>
      </w:r>
    </w:p>
    <w:p w14:paraId="4ED99A59" w14:textId="0BFCBFF7" w:rsidR="0010486A" w:rsidRPr="001A068D" w:rsidRDefault="003D4F74" w:rsidP="003D4F74">
      <w:pPr>
        <w:jc w:val="both"/>
        <w:rPr>
          <w:rFonts w:ascii="Times New Roman" w:hAnsi="Times New Roman" w:cs="Times New Roman"/>
          <w:sz w:val="28"/>
          <w:szCs w:val="28"/>
        </w:rPr>
      </w:pPr>
      <w:r w:rsidRPr="00653B1E">
        <w:rPr>
          <w:rFonts w:ascii="Times New Roman" w:hAnsi="Times New Roman" w:cs="Times New Roman"/>
          <w:sz w:val="28"/>
          <w:szCs w:val="28"/>
        </w:rPr>
        <w:t>В ноябре 2018 г. в Государственной Думе РФ прошли парламентские слушания на тему «Правовое обеспечение государственной регламентации образовательной деятельности: проблемы и пути решения». Участники обсудили проблемы существующей системы государственной оценки и контроля деятельности вузов и предложили шаги по ее совершенствованию. Были внесены предложения обеспечить образовательным организациям возможность получать аккредитацию в российских, иностранных и международных организациях, зарегистрированных в международных реестрах, согласно соглашениям, подписанным Российской Федерацией; а также признавать (а не учитывать, не рассматривать, в соответствии с действующей формулировкой) в качестве государственной аккредитации результаты международной оценки программ, в частности аккредитацию в признанном аккредитационном агентстве, зарегистрированном в международных реестрах в соответствии с международными соглашениями Российской Федерации.</w:t>
      </w:r>
    </w:p>
    <w:p w14:paraId="4B8D8935" w14:textId="3502CD74" w:rsidR="000823B8" w:rsidRPr="001A068D" w:rsidRDefault="000823B8" w:rsidP="001A068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68D">
        <w:rPr>
          <w:rFonts w:ascii="Times New Roman" w:hAnsi="Times New Roman" w:cs="Times New Roman"/>
          <w:b/>
          <w:sz w:val="28"/>
          <w:szCs w:val="28"/>
        </w:rPr>
        <w:lastRenderedPageBreak/>
        <w:t>Итоги сравнительного анализа экспертных отчетов о независимой оценке и профессионально-общественной аккредитации образовательных прогр</w:t>
      </w:r>
      <w:r w:rsidR="005E793F">
        <w:rPr>
          <w:rFonts w:ascii="Times New Roman" w:hAnsi="Times New Roman" w:cs="Times New Roman"/>
          <w:b/>
          <w:sz w:val="28"/>
          <w:szCs w:val="28"/>
        </w:rPr>
        <w:t>амм за 201</w:t>
      </w:r>
      <w:r w:rsidR="00EF2DD0">
        <w:rPr>
          <w:rFonts w:ascii="Times New Roman" w:hAnsi="Times New Roman" w:cs="Times New Roman"/>
          <w:b/>
          <w:sz w:val="28"/>
          <w:szCs w:val="28"/>
        </w:rPr>
        <w:t>8</w:t>
      </w:r>
      <w:r w:rsidR="009966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59F44C" w14:textId="0ADBFF98" w:rsidR="00C873CC" w:rsidRDefault="002A23C3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В результате сравнительного ан</w:t>
      </w:r>
      <w:r w:rsidR="003D2100">
        <w:rPr>
          <w:rFonts w:ascii="Times New Roman" w:hAnsi="Times New Roman" w:cs="Times New Roman"/>
          <w:sz w:val="28"/>
          <w:szCs w:val="28"/>
        </w:rPr>
        <w:t>ализа экспертных отчетов за 201</w:t>
      </w:r>
      <w:r w:rsidR="00EF2DD0">
        <w:rPr>
          <w:rFonts w:ascii="Times New Roman" w:hAnsi="Times New Roman" w:cs="Times New Roman"/>
          <w:sz w:val="28"/>
          <w:szCs w:val="28"/>
        </w:rPr>
        <w:t>8</w:t>
      </w:r>
      <w:r w:rsidR="008E0CC7">
        <w:rPr>
          <w:rFonts w:ascii="Times New Roman" w:hAnsi="Times New Roman" w:cs="Times New Roman"/>
          <w:sz w:val="28"/>
          <w:szCs w:val="28"/>
        </w:rPr>
        <w:t xml:space="preserve"> </w:t>
      </w:r>
      <w:r w:rsidRPr="001A068D">
        <w:rPr>
          <w:rFonts w:ascii="Times New Roman" w:hAnsi="Times New Roman" w:cs="Times New Roman"/>
          <w:sz w:val="28"/>
          <w:szCs w:val="28"/>
        </w:rPr>
        <w:t xml:space="preserve">год были выявлены </w:t>
      </w:r>
      <w:r w:rsidR="004C0661" w:rsidRPr="001A068D">
        <w:rPr>
          <w:rFonts w:ascii="Times New Roman" w:hAnsi="Times New Roman" w:cs="Times New Roman"/>
          <w:sz w:val="28"/>
          <w:szCs w:val="28"/>
        </w:rPr>
        <w:t>основные</w:t>
      </w:r>
      <w:r w:rsidR="00604703">
        <w:rPr>
          <w:rFonts w:ascii="Times New Roman" w:hAnsi="Times New Roman" w:cs="Times New Roman"/>
          <w:sz w:val="28"/>
          <w:szCs w:val="28"/>
        </w:rPr>
        <w:t xml:space="preserve"> тренды по каждому из критериев</w:t>
      </w:r>
      <w:r w:rsidR="004C0661" w:rsidRPr="001A068D">
        <w:rPr>
          <w:rFonts w:ascii="Times New Roman" w:hAnsi="Times New Roman" w:cs="Times New Roman"/>
          <w:sz w:val="28"/>
          <w:szCs w:val="28"/>
        </w:rPr>
        <w:t xml:space="preserve">, применяемых АККОРК при проведении независимой оценки и профессионально-общественной аккредитации образовательных программ, характерные на данный период для работы образовательных организаций на территории Российской Федерации. </w:t>
      </w:r>
    </w:p>
    <w:p w14:paraId="5182B6EE" w14:textId="77777777" w:rsidR="00C873CC" w:rsidRDefault="00C87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D2E6A5" w14:textId="6B952FD7" w:rsidR="002A23C3" w:rsidRPr="00996670" w:rsidRDefault="00446A10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C0661" w:rsidRPr="00996670">
        <w:rPr>
          <w:rFonts w:ascii="Times New Roman" w:hAnsi="Times New Roman" w:cs="Times New Roman"/>
          <w:b/>
          <w:sz w:val="28"/>
          <w:szCs w:val="28"/>
        </w:rPr>
        <w:t>.</w:t>
      </w:r>
      <w:r w:rsidR="004C0661" w:rsidRPr="001A068D">
        <w:rPr>
          <w:rFonts w:ascii="Times New Roman" w:hAnsi="Times New Roman" w:cs="Times New Roman"/>
          <w:sz w:val="28"/>
          <w:szCs w:val="28"/>
        </w:rPr>
        <w:t xml:space="preserve"> </w:t>
      </w:r>
      <w:r w:rsidR="002A23C3" w:rsidRPr="00996670">
        <w:rPr>
          <w:rFonts w:ascii="Times New Roman" w:hAnsi="Times New Roman" w:cs="Times New Roman"/>
          <w:b/>
          <w:sz w:val="28"/>
          <w:szCs w:val="28"/>
        </w:rPr>
        <w:t>КАЧЕСТВО РЕЗУЛЬТАТОВ ОБУЧЕНИЯ</w:t>
      </w:r>
    </w:p>
    <w:p w14:paraId="1C4024EF" w14:textId="63D5A4F6" w:rsidR="002F12C2" w:rsidRPr="00996670" w:rsidRDefault="002F12C2" w:rsidP="001A068D">
      <w:pPr>
        <w:pStyle w:val="a3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0">
        <w:rPr>
          <w:rFonts w:ascii="Times New Roman" w:hAnsi="Times New Roman" w:cs="Times New Roman"/>
          <w:b/>
          <w:sz w:val="28"/>
          <w:szCs w:val="28"/>
        </w:rPr>
        <w:t xml:space="preserve">Прямая оценка компетенций экспертами </w:t>
      </w:r>
    </w:p>
    <w:p w14:paraId="1BCAD93F" w14:textId="5571100F" w:rsidR="002F12C2" w:rsidRPr="001A068D" w:rsidRDefault="00E0533B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В процессе очных визитов эксперты проводили прямую оценку компетенций выпускников, при которой обычно использовались тестовые материалы, подготовленные образовательным учреждением и признанные экспертом валидными, а также вопросы, ориентированные на выявление профессиональных и лично</w:t>
      </w:r>
      <w:r w:rsidR="00604703">
        <w:rPr>
          <w:rFonts w:ascii="Times New Roman" w:hAnsi="Times New Roman" w:cs="Times New Roman"/>
          <w:sz w:val="28"/>
          <w:szCs w:val="28"/>
        </w:rPr>
        <w:t>стных компетенций выпускников. При</w:t>
      </w:r>
      <w:r w:rsidRPr="001A068D">
        <w:rPr>
          <w:rFonts w:ascii="Times New Roman" w:hAnsi="Times New Roman" w:cs="Times New Roman"/>
          <w:sz w:val="28"/>
          <w:szCs w:val="28"/>
        </w:rPr>
        <w:t xml:space="preserve"> проведении прямой оценки </w:t>
      </w:r>
      <w:r w:rsidR="00CF082E">
        <w:rPr>
          <w:rFonts w:ascii="Times New Roman" w:hAnsi="Times New Roman" w:cs="Times New Roman"/>
          <w:sz w:val="28"/>
          <w:szCs w:val="28"/>
        </w:rPr>
        <w:t>студенты выпускного курса демонстрировали в среднем достаточный или приемлемый уровень знаний</w:t>
      </w:r>
      <w:r w:rsidRPr="001A0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184B4" w14:textId="6D81FFB0" w:rsidR="00BD3889" w:rsidRDefault="00CF082E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прямой оценки компетенций</w:t>
      </w:r>
      <w:r w:rsidR="002F12C2" w:rsidRPr="001A068D">
        <w:rPr>
          <w:rFonts w:ascii="Times New Roman" w:hAnsi="Times New Roman" w:cs="Times New Roman"/>
          <w:sz w:val="28"/>
          <w:szCs w:val="28"/>
        </w:rPr>
        <w:t xml:space="preserve"> эксперты знакомились с выпускными квалификационными работами</w:t>
      </w:r>
      <w:r w:rsidR="00604703">
        <w:rPr>
          <w:rFonts w:ascii="Times New Roman" w:hAnsi="Times New Roman" w:cs="Times New Roman"/>
          <w:sz w:val="28"/>
          <w:szCs w:val="28"/>
        </w:rPr>
        <w:t xml:space="preserve"> (ВКР)</w:t>
      </w:r>
      <w:r w:rsidR="002F12C2" w:rsidRPr="001A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предыдущего года</w:t>
      </w:r>
      <w:r w:rsidR="002F12C2" w:rsidRPr="001A068D">
        <w:rPr>
          <w:rFonts w:ascii="Times New Roman" w:hAnsi="Times New Roman" w:cs="Times New Roman"/>
          <w:sz w:val="28"/>
          <w:szCs w:val="28"/>
        </w:rPr>
        <w:t xml:space="preserve"> по данному направлению.</w:t>
      </w:r>
      <w:r w:rsidR="004E35DB" w:rsidRPr="001A068D">
        <w:rPr>
          <w:rFonts w:ascii="Times New Roman" w:hAnsi="Times New Roman" w:cs="Times New Roman"/>
          <w:sz w:val="28"/>
          <w:szCs w:val="28"/>
        </w:rPr>
        <w:t xml:space="preserve"> В результате оценки ВКР</w:t>
      </w:r>
      <w:r w:rsidR="00BD3889" w:rsidRPr="001A068D">
        <w:rPr>
          <w:rFonts w:ascii="Times New Roman" w:hAnsi="Times New Roman" w:cs="Times New Roman"/>
          <w:sz w:val="28"/>
          <w:szCs w:val="28"/>
        </w:rPr>
        <w:t xml:space="preserve"> на соответствие установленным требованиям эксперты сделали вывод</w:t>
      </w:r>
      <w:r w:rsidR="003A6EC7">
        <w:rPr>
          <w:rFonts w:ascii="Times New Roman" w:hAnsi="Times New Roman" w:cs="Times New Roman"/>
          <w:sz w:val="28"/>
          <w:szCs w:val="28"/>
        </w:rPr>
        <w:t>ы о том, что</w:t>
      </w:r>
      <w:r w:rsidR="00BD3889" w:rsidRPr="001A068D">
        <w:rPr>
          <w:rFonts w:ascii="Times New Roman" w:hAnsi="Times New Roman" w:cs="Times New Roman"/>
          <w:sz w:val="28"/>
          <w:szCs w:val="28"/>
        </w:rPr>
        <w:t xml:space="preserve"> ВКР по своей теме соответствует направлению подготовки, а задания и содержание ВКР направлены на подтверждение сформированности </w:t>
      </w:r>
      <w:r w:rsidR="00BD3889" w:rsidRPr="00176426">
        <w:rPr>
          <w:rFonts w:ascii="Times New Roman" w:hAnsi="Times New Roman" w:cs="Times New Roman"/>
          <w:sz w:val="28"/>
          <w:szCs w:val="28"/>
        </w:rPr>
        <w:t xml:space="preserve">компетенций выпускника. </w:t>
      </w:r>
      <w:r w:rsidR="003A6EC7">
        <w:rPr>
          <w:rFonts w:ascii="Times New Roman" w:hAnsi="Times New Roman" w:cs="Times New Roman"/>
          <w:sz w:val="28"/>
          <w:szCs w:val="28"/>
        </w:rPr>
        <w:t>О</w:t>
      </w:r>
      <w:r w:rsidR="00176426" w:rsidRPr="00176426">
        <w:rPr>
          <w:rFonts w:ascii="Times New Roman" w:hAnsi="Times New Roman" w:cs="Times New Roman"/>
          <w:sz w:val="28"/>
          <w:szCs w:val="28"/>
        </w:rPr>
        <w:t xml:space="preserve">тмечается высокий уровень выбранных методов исследования и адекватность интерпретации полученных результатов. </w:t>
      </w:r>
      <w:r w:rsidR="00BD3889" w:rsidRPr="00176426">
        <w:rPr>
          <w:rFonts w:ascii="Times New Roman" w:hAnsi="Times New Roman" w:cs="Times New Roman"/>
          <w:sz w:val="28"/>
          <w:szCs w:val="28"/>
        </w:rPr>
        <w:t xml:space="preserve"> </w:t>
      </w:r>
      <w:r w:rsidR="00176426">
        <w:rPr>
          <w:rFonts w:ascii="Times New Roman" w:hAnsi="Times New Roman" w:cs="Times New Roman"/>
          <w:sz w:val="28"/>
          <w:szCs w:val="28"/>
        </w:rPr>
        <w:t>Отмечается практическая</w:t>
      </w:r>
      <w:r w:rsidR="003A6EC7">
        <w:rPr>
          <w:rFonts w:ascii="Times New Roman" w:hAnsi="Times New Roman" w:cs="Times New Roman"/>
          <w:sz w:val="28"/>
          <w:szCs w:val="28"/>
        </w:rPr>
        <w:t xml:space="preserve"> значимость работ</w:t>
      </w:r>
      <w:r w:rsidR="00176426">
        <w:rPr>
          <w:rFonts w:ascii="Times New Roman" w:hAnsi="Times New Roman" w:cs="Times New Roman"/>
          <w:sz w:val="28"/>
          <w:szCs w:val="28"/>
        </w:rPr>
        <w:t xml:space="preserve"> в случаях, когда образовательная прогр</w:t>
      </w:r>
      <w:r w:rsidR="003A6EC7">
        <w:rPr>
          <w:rFonts w:ascii="Times New Roman" w:hAnsi="Times New Roman" w:cs="Times New Roman"/>
          <w:sz w:val="28"/>
          <w:szCs w:val="28"/>
        </w:rPr>
        <w:t>амма имеет прикладной характер</w:t>
      </w:r>
      <w:r w:rsidR="00176426">
        <w:rPr>
          <w:rFonts w:ascii="Times New Roman" w:hAnsi="Times New Roman" w:cs="Times New Roman"/>
          <w:sz w:val="28"/>
          <w:szCs w:val="28"/>
        </w:rPr>
        <w:t xml:space="preserve">.  Так темы ВКР </w:t>
      </w:r>
      <w:r w:rsidR="003A6EC7">
        <w:rPr>
          <w:rFonts w:ascii="Times New Roman" w:hAnsi="Times New Roman" w:cs="Times New Roman"/>
          <w:sz w:val="28"/>
          <w:szCs w:val="28"/>
        </w:rPr>
        <w:t>все чаще формируются</w:t>
      </w:r>
      <w:r w:rsidR="00176426">
        <w:rPr>
          <w:rFonts w:ascii="Times New Roman" w:hAnsi="Times New Roman" w:cs="Times New Roman"/>
          <w:sz w:val="28"/>
          <w:szCs w:val="28"/>
        </w:rPr>
        <w:t xml:space="preserve"> по запросу работодателей и/или они содержат рекомендации по решению реальных кейсов/практических задач.</w:t>
      </w:r>
    </w:p>
    <w:p w14:paraId="28DBD2D4" w14:textId="53C00FAB" w:rsidR="00A42D86" w:rsidRDefault="003A6EC7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ситуация, при которой</w:t>
      </w:r>
      <w:r w:rsidR="00A42D86">
        <w:rPr>
          <w:rFonts w:ascii="Times New Roman" w:hAnsi="Times New Roman" w:cs="Times New Roman"/>
          <w:sz w:val="28"/>
          <w:szCs w:val="28"/>
        </w:rPr>
        <w:t xml:space="preserve"> результаты исследований не всегда доводятся до работодателей и не всегда внедряются в практику. Не налажена обратная связь от работодателей о значимости и результативности рекомендаций, описанных в ВКР.</w:t>
      </w:r>
    </w:p>
    <w:p w14:paraId="35BF9C1A" w14:textId="5A5BAC4A" w:rsidR="00A42D86" w:rsidRPr="00CF082E" w:rsidRDefault="00A42D86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при написание дипломных работ повысить степень использования результатов исследований, реализуемых в ходе практик и курсовых работ. </w:t>
      </w:r>
    </w:p>
    <w:p w14:paraId="29890BC3" w14:textId="1A3A283D" w:rsidR="00785D68" w:rsidRDefault="00785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A65BD3" w14:textId="309A4656" w:rsidR="002A23C3" w:rsidRPr="004F0CD5" w:rsidRDefault="00446A10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F0CD5">
        <w:rPr>
          <w:rFonts w:ascii="Times New Roman" w:hAnsi="Times New Roman" w:cs="Times New Roman"/>
          <w:b/>
          <w:sz w:val="28"/>
          <w:szCs w:val="28"/>
        </w:rPr>
        <w:t>.</w:t>
      </w:r>
      <w:r w:rsidR="002A23C3" w:rsidRPr="004F0CD5">
        <w:rPr>
          <w:rFonts w:ascii="Times New Roman" w:hAnsi="Times New Roman" w:cs="Times New Roman"/>
          <w:b/>
          <w:sz w:val="28"/>
          <w:szCs w:val="28"/>
        </w:rPr>
        <w:tab/>
        <w:t>ГАРАНТИИ КАЧЕСТВА ОБРАЗОВАНИЯ</w:t>
      </w:r>
      <w:r w:rsidR="002A23C3" w:rsidRPr="004F0CD5">
        <w:rPr>
          <w:rFonts w:ascii="Times New Roman" w:hAnsi="Times New Roman" w:cs="Times New Roman"/>
          <w:b/>
          <w:sz w:val="28"/>
          <w:szCs w:val="28"/>
        </w:rPr>
        <w:tab/>
      </w:r>
    </w:p>
    <w:p w14:paraId="74C6EC50" w14:textId="77777777" w:rsidR="00534ED0" w:rsidRPr="001A068D" w:rsidRDefault="00534ED0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E47BC" w14:textId="1EFE1CBE" w:rsidR="00EE7F93" w:rsidRPr="00534ED0" w:rsidRDefault="002A23C3" w:rsidP="001A068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t>Стратегия, цели и менеджмент программы</w:t>
      </w:r>
    </w:p>
    <w:p w14:paraId="2A3BB0AF" w14:textId="77777777" w:rsidR="00A40548" w:rsidRDefault="00F61314" w:rsidP="006A6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Стратегии большинства программ разработаны в соответствии с применимыми стандартами, отраслевыми требованиями и потребностями рынка труда.</w:t>
      </w:r>
      <w:r w:rsidR="009D11CE" w:rsidRPr="001A068D">
        <w:rPr>
          <w:rFonts w:ascii="Times New Roman" w:hAnsi="Times New Roman" w:cs="Times New Roman"/>
          <w:sz w:val="28"/>
          <w:szCs w:val="28"/>
        </w:rPr>
        <w:t xml:space="preserve"> </w:t>
      </w:r>
      <w:r w:rsidR="00FB1442" w:rsidRPr="00FB1442">
        <w:rPr>
          <w:rFonts w:ascii="Times New Roman" w:hAnsi="Times New Roman" w:cs="Times New Roman"/>
          <w:sz w:val="28"/>
          <w:szCs w:val="28"/>
        </w:rPr>
        <w:t xml:space="preserve">Цели образовательных программ согласовывают с представителями </w:t>
      </w:r>
      <w:r w:rsidR="000638A8" w:rsidRPr="00FB1442">
        <w:rPr>
          <w:rFonts w:ascii="Times New Roman" w:hAnsi="Times New Roman" w:cs="Times New Roman"/>
          <w:sz w:val="28"/>
          <w:szCs w:val="28"/>
        </w:rPr>
        <w:t>рынка труда</w:t>
      </w:r>
      <w:r w:rsidR="00FB1442" w:rsidRPr="00FB1442">
        <w:rPr>
          <w:rFonts w:ascii="Times New Roman" w:hAnsi="Times New Roman" w:cs="Times New Roman"/>
          <w:sz w:val="28"/>
          <w:szCs w:val="28"/>
        </w:rPr>
        <w:t>.</w:t>
      </w:r>
      <w:r w:rsidR="000638A8" w:rsidRPr="00FB14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7B870" w14:textId="2F0871D1" w:rsidR="006A65F8" w:rsidRPr="001A068D" w:rsidRDefault="00FB1442" w:rsidP="006A65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A40548">
        <w:rPr>
          <w:rFonts w:ascii="Times New Roman" w:hAnsi="Times New Roman" w:cs="Times New Roman"/>
          <w:sz w:val="28"/>
          <w:szCs w:val="28"/>
        </w:rPr>
        <w:t xml:space="preserve"> по-прежнему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18">
        <w:rPr>
          <w:rFonts w:ascii="Times New Roman" w:hAnsi="Times New Roman" w:cs="Times New Roman"/>
          <w:sz w:val="28"/>
          <w:szCs w:val="28"/>
        </w:rPr>
        <w:t>студенты</w:t>
      </w:r>
      <w:r w:rsidR="00F25A2B">
        <w:rPr>
          <w:rFonts w:ascii="Times New Roman" w:hAnsi="Times New Roman" w:cs="Times New Roman"/>
          <w:sz w:val="28"/>
          <w:szCs w:val="28"/>
        </w:rPr>
        <w:t>, а в единичных случаях</w:t>
      </w:r>
      <w:r w:rsidR="000638A8" w:rsidRPr="001A068D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реподаватели не всегда осведомлены </w:t>
      </w:r>
      <w:r w:rsidR="00604703">
        <w:rPr>
          <w:rFonts w:ascii="Times New Roman" w:hAnsi="Times New Roman" w:cs="Times New Roman"/>
          <w:sz w:val="28"/>
          <w:szCs w:val="28"/>
        </w:rPr>
        <w:t xml:space="preserve">о целях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должным образом и </w:t>
      </w:r>
      <w:r w:rsidR="00A4054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могут четко их сформулировать. </w:t>
      </w:r>
      <w:r w:rsidR="006A65F8" w:rsidRPr="001A068D">
        <w:rPr>
          <w:rFonts w:ascii="Times New Roman" w:hAnsi="Times New Roman" w:cs="Times New Roman"/>
          <w:sz w:val="28"/>
          <w:szCs w:val="28"/>
        </w:rPr>
        <w:t>Критерии и показатели, используемые при проведен</w:t>
      </w:r>
      <w:r w:rsidR="00A40548">
        <w:rPr>
          <w:rFonts w:ascii="Times New Roman" w:hAnsi="Times New Roman" w:cs="Times New Roman"/>
          <w:sz w:val="28"/>
          <w:szCs w:val="28"/>
        </w:rPr>
        <w:t>ии внутреннего аудита, не</w:t>
      </w:r>
      <w:r w:rsidR="006A65F8" w:rsidRPr="001A068D">
        <w:rPr>
          <w:rFonts w:ascii="Times New Roman" w:hAnsi="Times New Roman" w:cs="Times New Roman"/>
          <w:sz w:val="28"/>
          <w:szCs w:val="28"/>
        </w:rPr>
        <w:t xml:space="preserve"> </w:t>
      </w:r>
      <w:r w:rsidR="00A40548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6A65F8">
        <w:rPr>
          <w:rFonts w:ascii="Times New Roman" w:hAnsi="Times New Roman" w:cs="Times New Roman"/>
          <w:sz w:val="28"/>
          <w:szCs w:val="28"/>
        </w:rPr>
        <w:t>с работодателями.</w:t>
      </w:r>
    </w:p>
    <w:p w14:paraId="1998A30A" w14:textId="1BC7568E" w:rsidR="009D11CE" w:rsidRPr="001A068D" w:rsidRDefault="00A40548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 всех крупных российских образовательных организациях существует </w:t>
      </w:r>
      <w:r w:rsidR="009A4F18">
        <w:rPr>
          <w:rFonts w:ascii="Times New Roman" w:hAnsi="Times New Roman" w:cs="Times New Roman"/>
          <w:sz w:val="28"/>
          <w:szCs w:val="28"/>
        </w:rPr>
        <w:t>подразделение, 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B1442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FB1442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0B4CE2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1442">
        <w:rPr>
          <w:rFonts w:ascii="Times New Roman" w:hAnsi="Times New Roman" w:cs="Times New Roman"/>
          <w:sz w:val="28"/>
          <w:szCs w:val="28"/>
        </w:rPr>
        <w:t xml:space="preserve">родолжает </w:t>
      </w:r>
      <w:r w:rsidR="006A65F8">
        <w:rPr>
          <w:rFonts w:ascii="Times New Roman" w:hAnsi="Times New Roman" w:cs="Times New Roman"/>
          <w:sz w:val="28"/>
          <w:szCs w:val="28"/>
        </w:rPr>
        <w:t>совершенствоваться на</w:t>
      </w:r>
      <w:r w:rsidR="000B4CE2">
        <w:rPr>
          <w:rFonts w:ascii="Times New Roman" w:hAnsi="Times New Roman" w:cs="Times New Roman"/>
          <w:sz w:val="28"/>
          <w:szCs w:val="28"/>
        </w:rPr>
        <w:t xml:space="preserve"> программных уровнях</w:t>
      </w:r>
      <w:r w:rsidR="009D11CE" w:rsidRPr="001A068D">
        <w:rPr>
          <w:rFonts w:ascii="Times New Roman" w:hAnsi="Times New Roman" w:cs="Times New Roman"/>
          <w:sz w:val="28"/>
          <w:szCs w:val="28"/>
        </w:rPr>
        <w:t xml:space="preserve"> система внутреннего м</w:t>
      </w:r>
      <w:r w:rsidR="00FB14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ниторинга качества образования. Основными рекомендациями по данному вопросу являются следующие: доводить результаты обратной связи до респондентов (студентов, преподавателей, работодателей), а также систематическое составление плана улучшений на основе обратной связи и отчет о результатах его реализации.  </w:t>
      </w:r>
    </w:p>
    <w:p w14:paraId="0BBFB71A" w14:textId="77777777" w:rsidR="00C506A5" w:rsidRDefault="008778C5" w:rsidP="009A4F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Сохраняется ситуация, при которой руководство программы</w:t>
      </w:r>
      <w:r w:rsidR="00FB1442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всегда производит ее позиционирование на рынке образовательных услуг сообразно ее конкурентным преимуществам. </w:t>
      </w:r>
    </w:p>
    <w:p w14:paraId="6864CBB4" w14:textId="47A33566" w:rsidR="009D11CE" w:rsidRDefault="009D11CE" w:rsidP="001A068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программы</w:t>
      </w:r>
    </w:p>
    <w:p w14:paraId="6E96BC03" w14:textId="29776634" w:rsidR="009D11CE" w:rsidRPr="001A068D" w:rsidRDefault="000638A8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 xml:space="preserve">Структура и содержание всех оцененных программ полностью соответствует требованиям ФГОС. </w:t>
      </w:r>
      <w:r w:rsidR="00913733" w:rsidRPr="001A068D">
        <w:rPr>
          <w:rFonts w:ascii="Times New Roman" w:hAnsi="Times New Roman" w:cs="Times New Roman"/>
          <w:sz w:val="28"/>
          <w:szCs w:val="28"/>
        </w:rPr>
        <w:t>Кроме того, значительная часть программ помимо компетенций ФГОС учитывают специальные компетенц</w:t>
      </w:r>
      <w:r w:rsidR="008778C5">
        <w:rPr>
          <w:rFonts w:ascii="Times New Roman" w:hAnsi="Times New Roman" w:cs="Times New Roman"/>
          <w:sz w:val="28"/>
          <w:szCs w:val="28"/>
        </w:rPr>
        <w:t xml:space="preserve">ии, предложенные </w:t>
      </w:r>
      <w:r w:rsidR="00913733" w:rsidRPr="001A068D">
        <w:rPr>
          <w:rFonts w:ascii="Times New Roman" w:hAnsi="Times New Roman" w:cs="Times New Roman"/>
          <w:sz w:val="28"/>
          <w:szCs w:val="28"/>
        </w:rPr>
        <w:t>работодателями</w:t>
      </w:r>
      <w:r w:rsidR="008778C5">
        <w:rPr>
          <w:rFonts w:ascii="Times New Roman" w:hAnsi="Times New Roman" w:cs="Times New Roman"/>
          <w:sz w:val="28"/>
          <w:szCs w:val="28"/>
        </w:rPr>
        <w:t xml:space="preserve"> - партнерами</w:t>
      </w:r>
      <w:r w:rsidR="00913733" w:rsidRPr="001A068D">
        <w:rPr>
          <w:rFonts w:ascii="Times New Roman" w:hAnsi="Times New Roman" w:cs="Times New Roman"/>
          <w:sz w:val="28"/>
          <w:szCs w:val="28"/>
        </w:rPr>
        <w:t xml:space="preserve">. В целом </w:t>
      </w:r>
      <w:r w:rsidRPr="001A068D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F25A2B">
        <w:rPr>
          <w:rFonts w:ascii="Times New Roman" w:hAnsi="Times New Roman" w:cs="Times New Roman"/>
          <w:sz w:val="28"/>
          <w:szCs w:val="28"/>
        </w:rPr>
        <w:t>соответствуют целям и задачам образовательной программы (О</w:t>
      </w:r>
      <w:r w:rsidR="00913733" w:rsidRPr="001A068D">
        <w:rPr>
          <w:rFonts w:ascii="Times New Roman" w:hAnsi="Times New Roman" w:cs="Times New Roman"/>
          <w:sz w:val="28"/>
          <w:szCs w:val="28"/>
        </w:rPr>
        <w:t>П</w:t>
      </w:r>
      <w:r w:rsidR="00F25A2B">
        <w:rPr>
          <w:rFonts w:ascii="Times New Roman" w:hAnsi="Times New Roman" w:cs="Times New Roman"/>
          <w:sz w:val="28"/>
          <w:szCs w:val="28"/>
        </w:rPr>
        <w:t>)</w:t>
      </w:r>
      <w:r w:rsidR="00913733" w:rsidRPr="001A068D">
        <w:rPr>
          <w:rFonts w:ascii="Times New Roman" w:hAnsi="Times New Roman" w:cs="Times New Roman"/>
          <w:sz w:val="28"/>
          <w:szCs w:val="28"/>
        </w:rPr>
        <w:t xml:space="preserve"> и потребностям региона</w:t>
      </w:r>
      <w:r w:rsidRPr="001A068D">
        <w:rPr>
          <w:rFonts w:ascii="Times New Roman" w:hAnsi="Times New Roman" w:cs="Times New Roman"/>
          <w:sz w:val="28"/>
          <w:szCs w:val="28"/>
        </w:rPr>
        <w:t>.</w:t>
      </w:r>
      <w:r w:rsidR="00476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37445" w14:textId="64187761" w:rsidR="000638A8" w:rsidRPr="00B409BD" w:rsidRDefault="000638A8" w:rsidP="001A068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9BD">
        <w:rPr>
          <w:rFonts w:ascii="Times New Roman" w:hAnsi="Times New Roman" w:cs="Times New Roman"/>
          <w:sz w:val="28"/>
          <w:szCs w:val="28"/>
        </w:rPr>
        <w:t xml:space="preserve">Также опрос обучающихся студентов показывает, что структура и содержание программы </w:t>
      </w:r>
      <w:r w:rsidR="00B409BD" w:rsidRPr="00B409BD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Pr="00B409BD">
        <w:rPr>
          <w:rFonts w:ascii="Times New Roman" w:hAnsi="Times New Roman" w:cs="Times New Roman"/>
          <w:sz w:val="28"/>
          <w:szCs w:val="28"/>
        </w:rPr>
        <w:t>соответствуют их ожиданиям</w:t>
      </w:r>
      <w:r w:rsidR="00B409BD" w:rsidRPr="00B409BD">
        <w:rPr>
          <w:rFonts w:ascii="Times New Roman" w:hAnsi="Times New Roman" w:cs="Times New Roman"/>
          <w:sz w:val="28"/>
          <w:szCs w:val="28"/>
        </w:rPr>
        <w:t>.</w:t>
      </w:r>
    </w:p>
    <w:p w14:paraId="27E1447A" w14:textId="6D1B295A" w:rsidR="00B409BD" w:rsidRDefault="00FE1DA4" w:rsidP="001A06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 участвуют в формировании тем выпускных работ, их подготовке и защите. По сравнению с прошлыми годами налаживается практика согласования </w:t>
      </w:r>
      <w:r w:rsidR="00954B85">
        <w:rPr>
          <w:rFonts w:ascii="Times New Roman" w:hAnsi="Times New Roman" w:cs="Times New Roman"/>
          <w:sz w:val="28"/>
          <w:szCs w:val="28"/>
        </w:rPr>
        <w:t>рабочих программ профессиональных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с работодателями</w:t>
      </w:r>
      <w:r w:rsidR="00954B85">
        <w:rPr>
          <w:rFonts w:ascii="Times New Roman" w:hAnsi="Times New Roman" w:cs="Times New Roman"/>
          <w:sz w:val="28"/>
          <w:szCs w:val="28"/>
        </w:rPr>
        <w:t>.</w:t>
      </w:r>
    </w:p>
    <w:p w14:paraId="0FFD50B5" w14:textId="2451D65F" w:rsidR="00B409BD" w:rsidRDefault="00B409BD" w:rsidP="001A06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большинстве образовательных организаций РФ не реализуется на должном уровне возможность студента выбирать и формировать собственную траекторию обучения.</w:t>
      </w:r>
    </w:p>
    <w:p w14:paraId="341B4E64" w14:textId="4754F32F" w:rsidR="00C506A5" w:rsidRDefault="004766C8" w:rsidP="001A068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Впервые встречаются рекомендации по актуализации и упрощению процедуры внесения изменений в образовательную программу (по</w:t>
      </w:r>
      <w:r w:rsidR="00C506A5">
        <w:rPr>
          <w:rFonts w:ascii="Times New Roman" w:hAnsi="Times New Roman" w:cs="Times New Roman"/>
          <w:sz w:val="28"/>
          <w:szCs w:val="28"/>
        </w:rPr>
        <w:t>вышение скорости согласования).</w:t>
      </w:r>
    </w:p>
    <w:p w14:paraId="7FDBBCED" w14:textId="6B378640" w:rsidR="002A23C3" w:rsidRPr="00534ED0" w:rsidRDefault="002A23C3" w:rsidP="001A068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Учебно-методические материал</w:t>
      </w:r>
      <w:r w:rsidR="00B03408" w:rsidRPr="00534ED0">
        <w:rPr>
          <w:rFonts w:ascii="Times New Roman" w:hAnsi="Times New Roman" w:cs="Times New Roman"/>
          <w:b/>
          <w:sz w:val="28"/>
          <w:szCs w:val="28"/>
        </w:rPr>
        <w:t>ы</w:t>
      </w:r>
    </w:p>
    <w:p w14:paraId="1F6CE1D4" w14:textId="4F7DF395" w:rsidR="005A1529" w:rsidRPr="001A068D" w:rsidRDefault="00285060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060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повысился </w:t>
      </w:r>
      <w:r w:rsidR="002D6BCB" w:rsidRPr="00285060">
        <w:rPr>
          <w:rFonts w:ascii="Times New Roman" w:hAnsi="Times New Roman" w:cs="Times New Roman"/>
          <w:sz w:val="28"/>
          <w:szCs w:val="28"/>
        </w:rPr>
        <w:t xml:space="preserve">уровень согласованности </w:t>
      </w:r>
      <w:r w:rsidR="00F25A2B">
        <w:rPr>
          <w:rFonts w:ascii="Times New Roman" w:hAnsi="Times New Roman" w:cs="Times New Roman"/>
          <w:sz w:val="28"/>
          <w:szCs w:val="28"/>
        </w:rPr>
        <w:t>учебно-методического комплекса (</w:t>
      </w:r>
      <w:r w:rsidR="002D6BCB" w:rsidRPr="00285060">
        <w:rPr>
          <w:rFonts w:ascii="Times New Roman" w:hAnsi="Times New Roman" w:cs="Times New Roman"/>
          <w:sz w:val="28"/>
          <w:szCs w:val="28"/>
        </w:rPr>
        <w:t>УМК</w:t>
      </w:r>
      <w:r w:rsidR="00F25A2B">
        <w:rPr>
          <w:rFonts w:ascii="Times New Roman" w:hAnsi="Times New Roman" w:cs="Times New Roman"/>
          <w:sz w:val="28"/>
          <w:szCs w:val="28"/>
        </w:rPr>
        <w:t>)</w:t>
      </w:r>
      <w:r w:rsidR="002D6BCB" w:rsidRPr="00285060">
        <w:rPr>
          <w:rFonts w:ascii="Times New Roman" w:hAnsi="Times New Roman" w:cs="Times New Roman"/>
          <w:sz w:val="28"/>
          <w:szCs w:val="28"/>
        </w:rPr>
        <w:t xml:space="preserve"> с работодателями</w:t>
      </w:r>
      <w:r w:rsidRPr="00285060">
        <w:rPr>
          <w:rFonts w:ascii="Times New Roman" w:hAnsi="Times New Roman" w:cs="Times New Roman"/>
          <w:sz w:val="28"/>
          <w:szCs w:val="28"/>
        </w:rPr>
        <w:t>.</w:t>
      </w:r>
      <w:r w:rsidR="002D6BCB" w:rsidRPr="00285060">
        <w:rPr>
          <w:rFonts w:ascii="Times New Roman" w:hAnsi="Times New Roman" w:cs="Times New Roman"/>
          <w:sz w:val="28"/>
          <w:szCs w:val="28"/>
        </w:rPr>
        <w:t xml:space="preserve"> </w:t>
      </w:r>
      <w:r w:rsidRPr="00285060">
        <w:rPr>
          <w:rFonts w:ascii="Times New Roman" w:hAnsi="Times New Roman" w:cs="Times New Roman"/>
          <w:sz w:val="28"/>
          <w:szCs w:val="28"/>
        </w:rPr>
        <w:t>Распространенной рекомендацией является ведение более открытой политики по вопросу форми</w:t>
      </w:r>
      <w:r w:rsidR="00F25A2B">
        <w:rPr>
          <w:rFonts w:ascii="Times New Roman" w:hAnsi="Times New Roman" w:cs="Times New Roman"/>
          <w:sz w:val="28"/>
          <w:szCs w:val="28"/>
        </w:rPr>
        <w:t xml:space="preserve">рования содержания и структуры </w:t>
      </w:r>
      <w:r w:rsidRPr="00285060">
        <w:rPr>
          <w:rFonts w:ascii="Times New Roman" w:hAnsi="Times New Roman" w:cs="Times New Roman"/>
          <w:sz w:val="28"/>
          <w:szCs w:val="28"/>
        </w:rPr>
        <w:t>ОП и вовлечению студентов в формирование содержательной части УМК.</w:t>
      </w:r>
    </w:p>
    <w:p w14:paraId="16A276EB" w14:textId="488E6C21" w:rsidR="005A1529" w:rsidRDefault="008073E2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5504" w:rsidRPr="00546BFE">
        <w:rPr>
          <w:rFonts w:ascii="Times New Roman" w:hAnsi="Times New Roman" w:cs="Times New Roman"/>
          <w:sz w:val="28"/>
          <w:szCs w:val="28"/>
        </w:rPr>
        <w:t xml:space="preserve">ет нареканий относительно </w:t>
      </w:r>
      <w:r w:rsidR="005A1529" w:rsidRPr="00546BFE">
        <w:rPr>
          <w:rFonts w:ascii="Times New Roman" w:hAnsi="Times New Roman" w:cs="Times New Roman"/>
          <w:sz w:val="28"/>
          <w:szCs w:val="28"/>
        </w:rPr>
        <w:t>пра</w:t>
      </w:r>
      <w:r w:rsidR="00F25504" w:rsidRPr="00546BFE">
        <w:rPr>
          <w:rFonts w:ascii="Times New Roman" w:hAnsi="Times New Roman" w:cs="Times New Roman"/>
          <w:sz w:val="28"/>
          <w:szCs w:val="28"/>
        </w:rPr>
        <w:t>ктико-ориентированности</w:t>
      </w:r>
      <w:r w:rsidR="005A1529" w:rsidRPr="00546BF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25504" w:rsidRPr="00546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 w:rsidR="00F25504" w:rsidRPr="00546BFE">
        <w:rPr>
          <w:rFonts w:ascii="Times New Roman" w:hAnsi="Times New Roman" w:cs="Times New Roman"/>
          <w:sz w:val="28"/>
          <w:szCs w:val="28"/>
        </w:rPr>
        <w:t xml:space="preserve">; отмечается использование </w:t>
      </w:r>
      <w:r w:rsidR="005A1529" w:rsidRPr="00546BFE">
        <w:rPr>
          <w:rFonts w:ascii="Times New Roman" w:hAnsi="Times New Roman" w:cs="Times New Roman"/>
          <w:sz w:val="28"/>
          <w:szCs w:val="28"/>
        </w:rPr>
        <w:t>управленчески</w:t>
      </w:r>
      <w:r w:rsidR="00B33010">
        <w:rPr>
          <w:rFonts w:ascii="Times New Roman" w:hAnsi="Times New Roman" w:cs="Times New Roman"/>
          <w:sz w:val="28"/>
          <w:szCs w:val="28"/>
        </w:rPr>
        <w:t>х ситуаций, мини-кейсов, заданий, имеющих</w:t>
      </w:r>
      <w:r w:rsidR="005A1529" w:rsidRPr="00546BFE">
        <w:rPr>
          <w:rFonts w:ascii="Times New Roman" w:hAnsi="Times New Roman" w:cs="Times New Roman"/>
          <w:sz w:val="28"/>
          <w:szCs w:val="28"/>
        </w:rPr>
        <w:t xml:space="preserve"> творческий хара</w:t>
      </w:r>
      <w:r w:rsidR="00B33010">
        <w:rPr>
          <w:rFonts w:ascii="Times New Roman" w:hAnsi="Times New Roman" w:cs="Times New Roman"/>
          <w:sz w:val="28"/>
          <w:szCs w:val="28"/>
        </w:rPr>
        <w:t>ктер и направленны</w:t>
      </w:r>
      <w:r w:rsidR="00F25A2B">
        <w:rPr>
          <w:rFonts w:ascii="Times New Roman" w:hAnsi="Times New Roman" w:cs="Times New Roman"/>
          <w:sz w:val="28"/>
          <w:szCs w:val="28"/>
        </w:rPr>
        <w:t>х</w:t>
      </w:r>
      <w:r w:rsidR="00B33010">
        <w:rPr>
          <w:rFonts w:ascii="Times New Roman" w:hAnsi="Times New Roman" w:cs="Times New Roman"/>
          <w:sz w:val="28"/>
          <w:szCs w:val="28"/>
        </w:rPr>
        <w:t xml:space="preserve"> на оценку</w:t>
      </w:r>
      <w:r w:rsidR="005A1529" w:rsidRPr="00546BFE">
        <w:rPr>
          <w:rFonts w:ascii="Times New Roman" w:hAnsi="Times New Roman" w:cs="Times New Roman"/>
          <w:sz w:val="28"/>
          <w:szCs w:val="28"/>
        </w:rPr>
        <w:t xml:space="preserve"> </w:t>
      </w:r>
      <w:r w:rsidR="00B33010">
        <w:rPr>
          <w:rFonts w:ascii="Times New Roman" w:hAnsi="Times New Roman" w:cs="Times New Roman"/>
          <w:sz w:val="28"/>
          <w:szCs w:val="28"/>
        </w:rPr>
        <w:t>сформированн</w:t>
      </w:r>
      <w:r w:rsidR="00F25A2B">
        <w:rPr>
          <w:rFonts w:ascii="Times New Roman" w:hAnsi="Times New Roman" w:cs="Times New Roman"/>
          <w:sz w:val="28"/>
          <w:szCs w:val="28"/>
        </w:rPr>
        <w:t xml:space="preserve">ых </w:t>
      </w:r>
      <w:r w:rsidR="005A1529" w:rsidRPr="00546BFE">
        <w:rPr>
          <w:rFonts w:ascii="Times New Roman" w:hAnsi="Times New Roman" w:cs="Times New Roman"/>
          <w:sz w:val="28"/>
          <w:szCs w:val="28"/>
        </w:rPr>
        <w:t>компетенций.</w:t>
      </w:r>
    </w:p>
    <w:p w14:paraId="69505937" w14:textId="77777777" w:rsidR="00C506A5" w:rsidRDefault="00A950C7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Встречаются рекомендации по повышению информационной открытости в ча</w:t>
      </w:r>
      <w:r w:rsidR="00B33010">
        <w:rPr>
          <w:rFonts w:ascii="Times New Roman" w:hAnsi="Times New Roman" w:cs="Times New Roman"/>
          <w:sz w:val="28"/>
          <w:szCs w:val="28"/>
        </w:rPr>
        <w:t>сти УМК, а именно, обеспечению открытого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10">
        <w:rPr>
          <w:rFonts w:ascii="Times New Roman" w:hAnsi="Times New Roman" w:cs="Times New Roman"/>
          <w:sz w:val="28"/>
          <w:szCs w:val="28"/>
        </w:rPr>
        <w:t>к рабочим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3301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дисциплин и других элементов методического комплекса на сайте. </w:t>
      </w:r>
    </w:p>
    <w:p w14:paraId="2FCFFE2E" w14:textId="49D3CAF9" w:rsidR="005A1529" w:rsidRPr="00534ED0" w:rsidRDefault="005A1529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.4.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Технологии и методики образовательной деятельности</w:t>
      </w:r>
    </w:p>
    <w:p w14:paraId="7631B69D" w14:textId="1E70C3EB" w:rsidR="005A1529" w:rsidRPr="00D4145F" w:rsidRDefault="00FC4DDE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5F">
        <w:rPr>
          <w:rFonts w:ascii="Times New Roman" w:hAnsi="Times New Roman" w:cs="Times New Roman"/>
          <w:sz w:val="28"/>
          <w:szCs w:val="28"/>
        </w:rPr>
        <w:t>В</w:t>
      </w:r>
      <w:r w:rsidR="00BC4B09" w:rsidRPr="00D4145F">
        <w:rPr>
          <w:rFonts w:ascii="Times New Roman" w:hAnsi="Times New Roman" w:cs="Times New Roman"/>
          <w:sz w:val="28"/>
          <w:szCs w:val="28"/>
        </w:rPr>
        <w:t xml:space="preserve"> рамках всех оцененных программ п</w:t>
      </w:r>
      <w:r w:rsidR="005A1529" w:rsidRPr="00D4145F">
        <w:rPr>
          <w:rFonts w:ascii="Times New Roman" w:hAnsi="Times New Roman" w:cs="Times New Roman"/>
          <w:sz w:val="28"/>
          <w:szCs w:val="28"/>
        </w:rPr>
        <w:t>рофессорско-преп</w:t>
      </w:r>
      <w:r w:rsidR="00D4145F" w:rsidRPr="00D4145F">
        <w:rPr>
          <w:rFonts w:ascii="Times New Roman" w:hAnsi="Times New Roman" w:cs="Times New Roman"/>
          <w:sz w:val="28"/>
          <w:szCs w:val="28"/>
        </w:rPr>
        <w:t xml:space="preserve">одавательский состав применяет в ходе образовательного процесса </w:t>
      </w:r>
      <w:r w:rsidR="005A1529" w:rsidRPr="00D4145F">
        <w:rPr>
          <w:rFonts w:ascii="Times New Roman" w:hAnsi="Times New Roman" w:cs="Times New Roman"/>
          <w:sz w:val="28"/>
          <w:szCs w:val="28"/>
        </w:rPr>
        <w:t>деловые игры, дискуссии, защит</w:t>
      </w:r>
      <w:r w:rsidR="002E58BD">
        <w:rPr>
          <w:rFonts w:ascii="Times New Roman" w:hAnsi="Times New Roman" w:cs="Times New Roman"/>
          <w:sz w:val="28"/>
          <w:szCs w:val="28"/>
        </w:rPr>
        <w:t>у</w:t>
      </w:r>
      <w:r w:rsidR="005A1529" w:rsidRPr="00D4145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4B09" w:rsidRPr="00D4145F">
        <w:rPr>
          <w:rFonts w:ascii="Times New Roman" w:hAnsi="Times New Roman" w:cs="Times New Roman"/>
          <w:sz w:val="28"/>
          <w:szCs w:val="28"/>
        </w:rPr>
        <w:t>ов</w:t>
      </w:r>
      <w:r w:rsidR="005A1529" w:rsidRPr="00D4145F">
        <w:rPr>
          <w:rFonts w:ascii="Times New Roman" w:hAnsi="Times New Roman" w:cs="Times New Roman"/>
          <w:sz w:val="28"/>
          <w:szCs w:val="28"/>
        </w:rPr>
        <w:t>, мозгов</w:t>
      </w:r>
      <w:r w:rsidR="00BC4B09" w:rsidRPr="00D4145F">
        <w:rPr>
          <w:rFonts w:ascii="Times New Roman" w:hAnsi="Times New Roman" w:cs="Times New Roman"/>
          <w:sz w:val="28"/>
          <w:szCs w:val="28"/>
        </w:rPr>
        <w:t>ые</w:t>
      </w:r>
      <w:r w:rsidR="005A1529" w:rsidRPr="00D4145F">
        <w:rPr>
          <w:rFonts w:ascii="Times New Roman" w:hAnsi="Times New Roman" w:cs="Times New Roman"/>
          <w:sz w:val="28"/>
          <w:szCs w:val="28"/>
        </w:rPr>
        <w:t xml:space="preserve"> штурм</w:t>
      </w:r>
      <w:r w:rsidR="00BC4B09" w:rsidRPr="00D4145F">
        <w:rPr>
          <w:rFonts w:ascii="Times New Roman" w:hAnsi="Times New Roman" w:cs="Times New Roman"/>
          <w:sz w:val="28"/>
          <w:szCs w:val="28"/>
        </w:rPr>
        <w:t>ы</w:t>
      </w:r>
      <w:r w:rsidR="005A1529" w:rsidRPr="00D4145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D4145F">
        <w:rPr>
          <w:rFonts w:ascii="Times New Roman" w:hAnsi="Times New Roman" w:cs="Times New Roman"/>
          <w:sz w:val="28"/>
          <w:szCs w:val="28"/>
        </w:rPr>
        <w:t xml:space="preserve"> методы активного обучения</w:t>
      </w:r>
      <w:r w:rsidR="005A1529" w:rsidRPr="00D4145F">
        <w:rPr>
          <w:rFonts w:ascii="Times New Roman" w:hAnsi="Times New Roman" w:cs="Times New Roman"/>
          <w:sz w:val="28"/>
          <w:szCs w:val="28"/>
        </w:rPr>
        <w:t>.</w:t>
      </w:r>
      <w:r w:rsidR="00BC4B09" w:rsidRPr="00D41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9F09B" w14:textId="24D5FC6B" w:rsidR="00BC4B09" w:rsidRPr="001A068D" w:rsidRDefault="00BC4B09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Во многих образовательных организациях в рамках учебных занятий предусмотрены встречи с представителями российских и зарубежных компаний, государственных и общественных организаций, мастер</w:t>
      </w:r>
      <w:r w:rsidR="008073E2">
        <w:rPr>
          <w:rFonts w:ascii="Times New Roman" w:hAnsi="Times New Roman" w:cs="Times New Roman"/>
          <w:sz w:val="28"/>
          <w:szCs w:val="28"/>
        </w:rPr>
        <w:t>-классы специалистов отрасли</w:t>
      </w:r>
      <w:r w:rsidRPr="001A068D">
        <w:rPr>
          <w:rFonts w:ascii="Times New Roman" w:hAnsi="Times New Roman" w:cs="Times New Roman"/>
          <w:sz w:val="28"/>
          <w:szCs w:val="28"/>
        </w:rPr>
        <w:t>.</w:t>
      </w:r>
    </w:p>
    <w:p w14:paraId="7F23E243" w14:textId="77777777" w:rsidR="00C506A5" w:rsidRDefault="00E8241E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3599">
        <w:rPr>
          <w:rFonts w:ascii="Times New Roman" w:hAnsi="Times New Roman" w:cs="Times New Roman"/>
          <w:sz w:val="28"/>
          <w:szCs w:val="28"/>
        </w:rPr>
        <w:t>лат</w:t>
      </w:r>
      <w:r w:rsidR="00756071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7560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56071" w:rsidRPr="00756071">
        <w:rPr>
          <w:rFonts w:ascii="Times New Roman" w:hAnsi="Times New Roman" w:cs="Times New Roman"/>
          <w:sz w:val="28"/>
          <w:szCs w:val="28"/>
        </w:rPr>
        <w:t>-</w:t>
      </w:r>
      <w:r w:rsidR="00756071">
        <w:rPr>
          <w:rFonts w:ascii="Times New Roman" w:hAnsi="Times New Roman" w:cs="Times New Roman"/>
          <w:sz w:val="28"/>
          <w:szCs w:val="28"/>
          <w:lang w:val="en-US"/>
        </w:rPr>
        <w:t>leaning</w:t>
      </w:r>
      <w:r w:rsidR="00756071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во всех крупных вузах страны</w:t>
      </w:r>
      <w:r w:rsidR="00756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прошлый период основной рекомендацией по данному критерию была необходимость совершенствования</w:t>
      </w:r>
      <w:r w:rsidR="00756071">
        <w:rPr>
          <w:rFonts w:ascii="Times New Roman" w:hAnsi="Times New Roman" w:cs="Times New Roman"/>
          <w:sz w:val="28"/>
          <w:szCs w:val="28"/>
        </w:rPr>
        <w:t xml:space="preserve"> системы мотивации преподав</w:t>
      </w:r>
      <w:r>
        <w:rPr>
          <w:rFonts w:ascii="Times New Roman" w:hAnsi="Times New Roman" w:cs="Times New Roman"/>
          <w:sz w:val="28"/>
          <w:szCs w:val="28"/>
        </w:rPr>
        <w:t>ательского состава с целью</w:t>
      </w:r>
      <w:r w:rsidR="002E58BD">
        <w:rPr>
          <w:rFonts w:ascii="Times New Roman" w:hAnsi="Times New Roman" w:cs="Times New Roman"/>
          <w:sz w:val="28"/>
          <w:szCs w:val="28"/>
        </w:rPr>
        <w:t xml:space="preserve"> активизации</w:t>
      </w:r>
      <w:r w:rsidR="00756071">
        <w:rPr>
          <w:rFonts w:ascii="Times New Roman" w:hAnsi="Times New Roman" w:cs="Times New Roman"/>
          <w:sz w:val="28"/>
          <w:szCs w:val="28"/>
        </w:rPr>
        <w:t xml:space="preserve"> создания электронных курсов и других форм активного использования электронной платформы в образовательном процессе.  </w:t>
      </w:r>
      <w:r>
        <w:rPr>
          <w:rFonts w:ascii="Times New Roman" w:hAnsi="Times New Roman" w:cs="Times New Roman"/>
          <w:sz w:val="28"/>
          <w:szCs w:val="28"/>
        </w:rPr>
        <w:t>В настоящее время в электронный формат переведены большие части курсов (текстовый, аудио и видео формат), однако электронные ресурсы используются в большей степени как репози</w:t>
      </w:r>
      <w:r w:rsidR="00C9569D">
        <w:rPr>
          <w:rFonts w:ascii="Times New Roman" w:hAnsi="Times New Roman" w:cs="Times New Roman"/>
          <w:sz w:val="28"/>
          <w:szCs w:val="28"/>
        </w:rPr>
        <w:t>то</w:t>
      </w:r>
      <w:r w:rsidR="002E58BD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и, а не как</w:t>
      </w:r>
      <w:r w:rsidR="0075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платформы реализации образовательного процесса (он-лайн лекции, он-лайн тестирования и пр.). Можно отметить, что студенты отмечают неудобство пользования сайтом в образовательных целях, так как большую часть времени используют уже не компьютеры, а гаджеты. В связ</w:t>
      </w:r>
      <w:r w:rsidR="002E58BD">
        <w:rPr>
          <w:rFonts w:ascii="Times New Roman" w:hAnsi="Times New Roman" w:cs="Times New Roman"/>
          <w:sz w:val="28"/>
          <w:szCs w:val="28"/>
        </w:rPr>
        <w:t>и с этим актуальной рекомендацией</w:t>
      </w:r>
      <w:r>
        <w:rPr>
          <w:rFonts w:ascii="Times New Roman" w:hAnsi="Times New Roman" w:cs="Times New Roman"/>
          <w:sz w:val="28"/>
          <w:szCs w:val="28"/>
        </w:rPr>
        <w:t xml:space="preserve"> от АККОРК является перевод электр</w:t>
      </w:r>
      <w:r w:rsidR="002E58BD">
        <w:rPr>
          <w:rFonts w:ascii="Times New Roman" w:hAnsi="Times New Roman" w:cs="Times New Roman"/>
          <w:sz w:val="28"/>
          <w:szCs w:val="28"/>
        </w:rPr>
        <w:t>онных</w:t>
      </w:r>
      <w:r>
        <w:rPr>
          <w:rFonts w:ascii="Times New Roman" w:hAnsi="Times New Roman" w:cs="Times New Roman"/>
          <w:sz w:val="28"/>
          <w:szCs w:val="28"/>
        </w:rPr>
        <w:t xml:space="preserve"> платформ в формат мобильных приложений или адапт</w:t>
      </w:r>
      <w:r w:rsidR="002E58BD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для мобильных устройств.</w:t>
      </w:r>
    </w:p>
    <w:p w14:paraId="12F03123" w14:textId="75ABCBCA" w:rsidR="002A23C3" w:rsidRPr="00534ED0" w:rsidRDefault="005A1529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.5.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Профессорско-преподавательский состав</w:t>
      </w:r>
    </w:p>
    <w:p w14:paraId="058BE96E" w14:textId="118DE049" w:rsidR="00B11129" w:rsidRDefault="00B03C5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6F7DA8" w:rsidRPr="001A068D">
        <w:rPr>
          <w:rFonts w:ascii="Times New Roman" w:hAnsi="Times New Roman" w:cs="Times New Roman"/>
          <w:sz w:val="28"/>
          <w:szCs w:val="28"/>
        </w:rPr>
        <w:t xml:space="preserve"> преподаватели кафедры активно участвуют в проведении НИР, результаты которых в</w:t>
      </w:r>
      <w:r w:rsidR="00B92396">
        <w:rPr>
          <w:rFonts w:ascii="Times New Roman" w:hAnsi="Times New Roman" w:cs="Times New Roman"/>
          <w:sz w:val="28"/>
          <w:szCs w:val="28"/>
        </w:rPr>
        <w:t>недряют в учебный процесс</w:t>
      </w:r>
      <w:r w:rsidR="006F7DA8" w:rsidRPr="001A068D">
        <w:rPr>
          <w:rFonts w:ascii="Times New Roman" w:hAnsi="Times New Roman" w:cs="Times New Roman"/>
          <w:sz w:val="28"/>
          <w:szCs w:val="28"/>
        </w:rPr>
        <w:t xml:space="preserve">. </w:t>
      </w:r>
      <w:r w:rsidR="00691E12">
        <w:rPr>
          <w:rFonts w:ascii="Times New Roman" w:hAnsi="Times New Roman" w:cs="Times New Roman"/>
          <w:sz w:val="28"/>
          <w:szCs w:val="28"/>
        </w:rPr>
        <w:t xml:space="preserve">Отмечается высокий уровень академической мобильности в крупных ОО страны, высокая публикационная активность. Эти показатели являются результатом внедрения эффективных контактов. В качестве рекомендаций встречается предложение по включению результатов оценки преподавателя со стороны студентов </w:t>
      </w:r>
      <w:r w:rsidR="00DE1144">
        <w:rPr>
          <w:rFonts w:ascii="Times New Roman" w:hAnsi="Times New Roman" w:cs="Times New Roman"/>
          <w:sz w:val="28"/>
          <w:szCs w:val="28"/>
        </w:rPr>
        <w:t>(</w:t>
      </w:r>
      <w:r w:rsidR="00691E12">
        <w:rPr>
          <w:rFonts w:ascii="Times New Roman" w:hAnsi="Times New Roman" w:cs="Times New Roman"/>
          <w:sz w:val="28"/>
          <w:szCs w:val="28"/>
        </w:rPr>
        <w:t>не ниже 50% от общего балла) в условия, необходимые для продления контракта.</w:t>
      </w:r>
    </w:p>
    <w:p w14:paraId="03D5C03E" w14:textId="77777777" w:rsidR="00507D33" w:rsidRDefault="00507D33" w:rsidP="00507D3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 тенденция к привлечению к преподавательской деятельности специалистов, </w:t>
      </w:r>
      <w:r w:rsidRPr="001A068D">
        <w:rPr>
          <w:rFonts w:ascii="Times New Roman" w:hAnsi="Times New Roman" w:cs="Times New Roman"/>
          <w:sz w:val="28"/>
          <w:szCs w:val="28"/>
        </w:rPr>
        <w:t>имеющих текущий практический опыт по профилю</w:t>
      </w:r>
      <w:r>
        <w:rPr>
          <w:rFonts w:ascii="Times New Roman" w:hAnsi="Times New Roman" w:cs="Times New Roman"/>
          <w:sz w:val="28"/>
          <w:szCs w:val="28"/>
        </w:rPr>
        <w:t xml:space="preserve"> дисциплины. </w:t>
      </w:r>
    </w:p>
    <w:p w14:paraId="4EF6E3BD" w14:textId="77777777" w:rsidR="00C506A5" w:rsidRDefault="00691E12" w:rsidP="00691E12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Остается актуальной ситуация, при которой кадры российских вузов в целом лояльны к образовательной организации. Встречаются рекомендации о систематизации работы по формированию кадрового резерва ППС.</w:t>
      </w:r>
    </w:p>
    <w:p w14:paraId="65964B0B" w14:textId="22AE9609" w:rsidR="0071062F" w:rsidRPr="001A068D" w:rsidRDefault="008676A8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.6.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Материально-технические и финансовые ресурсы программы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</w:r>
      <w:r w:rsidR="000C56AB">
        <w:rPr>
          <w:rFonts w:ascii="Times New Roman" w:hAnsi="Times New Roman" w:cs="Times New Roman"/>
          <w:sz w:val="28"/>
          <w:szCs w:val="28"/>
        </w:rPr>
        <w:t>В ходе очных визитов а</w:t>
      </w:r>
      <w:r w:rsidR="00CB3406" w:rsidRPr="001A068D">
        <w:rPr>
          <w:rFonts w:ascii="Times New Roman" w:hAnsi="Times New Roman" w:cs="Times New Roman"/>
          <w:sz w:val="28"/>
          <w:szCs w:val="28"/>
        </w:rPr>
        <w:t>бсолютное большинство экспертов сделало</w:t>
      </w:r>
      <w:r w:rsidR="00246ECA" w:rsidRPr="001A068D">
        <w:rPr>
          <w:rFonts w:ascii="Times New Roman" w:hAnsi="Times New Roman" w:cs="Times New Roman"/>
          <w:sz w:val="28"/>
          <w:szCs w:val="28"/>
        </w:rPr>
        <w:t xml:space="preserve"> </w:t>
      </w:r>
      <w:r w:rsidR="00CB3406" w:rsidRPr="001A068D">
        <w:rPr>
          <w:rFonts w:ascii="Times New Roman" w:hAnsi="Times New Roman" w:cs="Times New Roman"/>
          <w:sz w:val="28"/>
          <w:szCs w:val="28"/>
        </w:rPr>
        <w:t>вывод о том, что ф</w:t>
      </w:r>
      <w:r w:rsidR="00246ECA" w:rsidRPr="001A068D">
        <w:rPr>
          <w:rFonts w:ascii="Times New Roman" w:hAnsi="Times New Roman" w:cs="Times New Roman"/>
          <w:sz w:val="28"/>
          <w:szCs w:val="28"/>
        </w:rPr>
        <w:t>инансовые и материально-технические ресурсы, формируемые для реализации образовательной программы, позволяют обеспечить в полной мере ее качественную реализацию.</w:t>
      </w:r>
    </w:p>
    <w:p w14:paraId="3E529869" w14:textId="5FBEE241" w:rsidR="00CB3406" w:rsidRDefault="00540450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193C1F">
        <w:rPr>
          <w:rFonts w:ascii="Times New Roman" w:hAnsi="Times New Roman" w:cs="Times New Roman"/>
          <w:sz w:val="28"/>
          <w:szCs w:val="28"/>
        </w:rPr>
        <w:t xml:space="preserve"> прошлыми годами наблюдается тенденция к переводу на финансовую автономию</w:t>
      </w:r>
      <w:r w:rsidR="00C57B6E">
        <w:rPr>
          <w:rFonts w:ascii="Times New Roman" w:hAnsi="Times New Roman" w:cs="Times New Roman"/>
          <w:sz w:val="28"/>
          <w:szCs w:val="28"/>
        </w:rPr>
        <w:t xml:space="preserve"> факультета (программы магистратуры финансируются зачастую через бюджет программ по бакалавриату).</w:t>
      </w:r>
    </w:p>
    <w:p w14:paraId="128C2B6A" w14:textId="048E6E35" w:rsidR="00540450" w:rsidRPr="001A068D" w:rsidRDefault="00540450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отчетах отмечается многоступенчатость процедуры по выделению средств для приобретения материальных ресурсов.</w:t>
      </w:r>
    </w:p>
    <w:p w14:paraId="3ACC777D" w14:textId="37DFAFAE" w:rsidR="00C506A5" w:rsidRDefault="00540450" w:rsidP="00540450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Остаются актуальными рекомендации</w:t>
      </w:r>
      <w:r w:rsidR="0017099A">
        <w:rPr>
          <w:rFonts w:ascii="Times New Roman" w:hAnsi="Times New Roman" w:cs="Times New Roman"/>
          <w:sz w:val="28"/>
          <w:szCs w:val="28"/>
        </w:rPr>
        <w:t xml:space="preserve"> по активизации или форм</w:t>
      </w:r>
      <w:r w:rsidR="00F25A2B">
        <w:rPr>
          <w:rFonts w:ascii="Times New Roman" w:hAnsi="Times New Roman" w:cs="Times New Roman"/>
          <w:sz w:val="28"/>
          <w:szCs w:val="28"/>
        </w:rPr>
        <w:t>ир</w:t>
      </w:r>
      <w:r w:rsidR="0017099A">
        <w:rPr>
          <w:rFonts w:ascii="Times New Roman" w:hAnsi="Times New Roman" w:cs="Times New Roman"/>
          <w:sz w:val="28"/>
          <w:szCs w:val="28"/>
        </w:rPr>
        <w:t>ованию способов получения дополнительный финансовых ресурсов для развития материально-технической базы, например, реализация научных и технических достиж</w:t>
      </w:r>
      <w:r>
        <w:rPr>
          <w:rFonts w:ascii="Times New Roman" w:hAnsi="Times New Roman" w:cs="Times New Roman"/>
          <w:sz w:val="28"/>
          <w:szCs w:val="28"/>
        </w:rPr>
        <w:t>ений преподавателей и студентов; а также по развитию</w:t>
      </w:r>
      <w:r w:rsidR="0017099A">
        <w:rPr>
          <w:rFonts w:ascii="Times New Roman" w:hAnsi="Times New Roman" w:cs="Times New Roman"/>
          <w:sz w:val="28"/>
          <w:szCs w:val="28"/>
        </w:rPr>
        <w:t xml:space="preserve"> инфраструктуры для обучения лиц с ограниченными возможностями.</w:t>
      </w:r>
    </w:p>
    <w:p w14:paraId="2FD549AF" w14:textId="2F70138C" w:rsidR="00010C63" w:rsidRPr="00534ED0" w:rsidRDefault="008676A8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.7.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Информационные ресурсы программы</w:t>
      </w:r>
    </w:p>
    <w:p w14:paraId="0DEE04F6" w14:textId="57AFC6C6" w:rsidR="000C56AB" w:rsidRDefault="00010C6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О</w:t>
      </w:r>
      <w:r w:rsidR="007476FD" w:rsidRPr="001A068D">
        <w:rPr>
          <w:rFonts w:ascii="Times New Roman" w:hAnsi="Times New Roman" w:cs="Times New Roman"/>
          <w:sz w:val="28"/>
          <w:szCs w:val="28"/>
        </w:rPr>
        <w:t>бучающи</w:t>
      </w:r>
      <w:r w:rsidR="0017712F">
        <w:rPr>
          <w:rFonts w:ascii="Times New Roman" w:hAnsi="Times New Roman" w:cs="Times New Roman"/>
          <w:sz w:val="28"/>
          <w:szCs w:val="28"/>
        </w:rPr>
        <w:t>еся всех оцененных О</w:t>
      </w:r>
      <w:r w:rsidRPr="001A068D">
        <w:rPr>
          <w:rFonts w:ascii="Times New Roman" w:hAnsi="Times New Roman" w:cs="Times New Roman"/>
          <w:sz w:val="28"/>
          <w:szCs w:val="28"/>
        </w:rPr>
        <w:t>П</w:t>
      </w:r>
      <w:r w:rsidR="007476FD" w:rsidRPr="001A068D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1A068D">
        <w:rPr>
          <w:rFonts w:ascii="Times New Roman" w:hAnsi="Times New Roman" w:cs="Times New Roman"/>
          <w:sz w:val="28"/>
          <w:szCs w:val="28"/>
        </w:rPr>
        <w:t>ы</w:t>
      </w:r>
      <w:r w:rsidR="007476FD" w:rsidRPr="001A068D">
        <w:rPr>
          <w:rFonts w:ascii="Times New Roman" w:hAnsi="Times New Roman" w:cs="Times New Roman"/>
          <w:sz w:val="28"/>
          <w:szCs w:val="28"/>
        </w:rPr>
        <w:t xml:space="preserve">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</w:r>
    </w:p>
    <w:p w14:paraId="076E0F04" w14:textId="7A67C18C" w:rsidR="00B8266F" w:rsidRPr="00B8266F" w:rsidRDefault="00730BD4" w:rsidP="00B8266F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прошлыми годами в образовательных организациях налажена работа</w:t>
      </w:r>
      <w:r w:rsidR="000C56A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ых кабинетов студентов, в системе созданы сервисы</w:t>
      </w:r>
      <w:r w:rsidR="000C56AB">
        <w:rPr>
          <w:rFonts w:ascii="Times New Roman" w:hAnsi="Times New Roman" w:cs="Times New Roman"/>
          <w:sz w:val="28"/>
          <w:szCs w:val="28"/>
        </w:rPr>
        <w:t xml:space="preserve">, которые позволят обмениваться студентам и преподавателям информацией. </w:t>
      </w:r>
    </w:p>
    <w:p w14:paraId="0B2F0EA7" w14:textId="77777777" w:rsidR="00C506A5" w:rsidRDefault="000C56AB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Отмечается важность </w:t>
      </w:r>
      <w:r w:rsidR="00730BD4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EB14A3">
        <w:rPr>
          <w:rFonts w:ascii="Times New Roman" w:hAnsi="Times New Roman" w:cs="Times New Roman"/>
          <w:sz w:val="28"/>
          <w:szCs w:val="28"/>
        </w:rPr>
        <w:t>в открытом доступе образовательной программы и</w:t>
      </w:r>
      <w:r w:rsidR="00730BD4">
        <w:rPr>
          <w:rFonts w:ascii="Times New Roman" w:hAnsi="Times New Roman" w:cs="Times New Roman"/>
          <w:sz w:val="28"/>
          <w:szCs w:val="28"/>
        </w:rPr>
        <w:t xml:space="preserve"> </w:t>
      </w:r>
      <w:r w:rsidR="00EB14A3">
        <w:rPr>
          <w:rFonts w:ascii="Times New Roman" w:hAnsi="Times New Roman" w:cs="Times New Roman"/>
          <w:sz w:val="28"/>
          <w:szCs w:val="28"/>
        </w:rPr>
        <w:t>рабочей программы дисциплин; а</w:t>
      </w:r>
      <w:r w:rsidR="008A5888">
        <w:rPr>
          <w:rFonts w:ascii="Times New Roman" w:hAnsi="Times New Roman" w:cs="Times New Roman"/>
          <w:sz w:val="28"/>
          <w:szCs w:val="28"/>
        </w:rPr>
        <w:t>ктуальны рекомендации по размеще</w:t>
      </w:r>
      <w:r w:rsidR="00EB14A3">
        <w:rPr>
          <w:rFonts w:ascii="Times New Roman" w:hAnsi="Times New Roman" w:cs="Times New Roman"/>
          <w:sz w:val="28"/>
          <w:szCs w:val="28"/>
        </w:rPr>
        <w:t xml:space="preserve">нию информации о преподавателях </w:t>
      </w:r>
      <w:r w:rsidR="008A5888">
        <w:rPr>
          <w:rFonts w:ascii="Times New Roman" w:hAnsi="Times New Roman" w:cs="Times New Roman"/>
          <w:sz w:val="28"/>
          <w:szCs w:val="28"/>
        </w:rPr>
        <w:t>и направлениях их научной деятельности или практическом опыте работы.</w:t>
      </w:r>
    </w:p>
    <w:p w14:paraId="1394CF35" w14:textId="21328A47" w:rsidR="002A23C3" w:rsidRPr="00534ED0" w:rsidRDefault="008676A8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.8.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Научно-исследовательская деятельность</w:t>
      </w:r>
    </w:p>
    <w:p w14:paraId="7F70DFD2" w14:textId="314E3D03" w:rsidR="00581E2B" w:rsidRPr="001A068D" w:rsidRDefault="00FF74B7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актуальными положительные аспекты данного критерия, а именно: активна </w:t>
      </w:r>
      <w:r w:rsidR="00581E2B" w:rsidRPr="001A068D">
        <w:rPr>
          <w:rFonts w:ascii="Times New Roman" w:hAnsi="Times New Roman" w:cs="Times New Roman"/>
          <w:sz w:val="28"/>
          <w:szCs w:val="28"/>
        </w:rPr>
        <w:t>научно-иссл</w:t>
      </w:r>
      <w:r>
        <w:rPr>
          <w:rFonts w:ascii="Times New Roman" w:hAnsi="Times New Roman" w:cs="Times New Roman"/>
          <w:sz w:val="28"/>
          <w:szCs w:val="28"/>
        </w:rPr>
        <w:t>едовательская деятельность ППС, р</w:t>
      </w:r>
      <w:r w:rsidR="0013625A" w:rsidRPr="001A068D">
        <w:rPr>
          <w:rFonts w:ascii="Times New Roman" w:hAnsi="Times New Roman" w:cs="Times New Roman"/>
          <w:sz w:val="28"/>
          <w:szCs w:val="28"/>
        </w:rPr>
        <w:t xml:space="preserve">езультаты научно-исследовательских работ направлены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направлений, </w:t>
      </w:r>
      <w:r w:rsidR="0013625A" w:rsidRPr="001A068D">
        <w:rPr>
          <w:rFonts w:ascii="Times New Roman" w:hAnsi="Times New Roman" w:cs="Times New Roman"/>
          <w:sz w:val="28"/>
          <w:szCs w:val="28"/>
        </w:rPr>
        <w:t xml:space="preserve">приоритетных для факультета и </w:t>
      </w:r>
      <w:r w:rsidR="00581E2B" w:rsidRPr="001A068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3625A" w:rsidRPr="001A068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81E2B" w:rsidRPr="001A0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669ED" w14:textId="1A7BAE78" w:rsidR="00581E2B" w:rsidRPr="001A068D" w:rsidRDefault="00581E2B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>На основе результатов опросов на тему «Как влияет НИР на качество образования», проведенных среди студентов, можно сделать вы</w:t>
      </w:r>
      <w:r w:rsidR="00B6019B">
        <w:rPr>
          <w:rFonts w:ascii="Times New Roman" w:hAnsi="Times New Roman" w:cs="Times New Roman"/>
          <w:sz w:val="28"/>
          <w:szCs w:val="28"/>
        </w:rPr>
        <w:t>вод о том, что</w:t>
      </w:r>
      <w:r w:rsidRPr="001A068D">
        <w:rPr>
          <w:rFonts w:ascii="Times New Roman" w:hAnsi="Times New Roman" w:cs="Times New Roman"/>
          <w:sz w:val="28"/>
          <w:szCs w:val="28"/>
        </w:rPr>
        <w:t xml:space="preserve"> НИР </w:t>
      </w:r>
      <w:r w:rsidR="00B6019B">
        <w:rPr>
          <w:rFonts w:ascii="Times New Roman" w:hAnsi="Times New Roman" w:cs="Times New Roman"/>
          <w:sz w:val="28"/>
          <w:szCs w:val="28"/>
        </w:rPr>
        <w:t xml:space="preserve">положительно влияет на </w:t>
      </w:r>
      <w:r w:rsidRPr="001A068D">
        <w:rPr>
          <w:rFonts w:ascii="Times New Roman" w:hAnsi="Times New Roman" w:cs="Times New Roman"/>
          <w:sz w:val="28"/>
          <w:szCs w:val="28"/>
        </w:rPr>
        <w:t>качест</w:t>
      </w:r>
      <w:r w:rsidR="00FF74B7">
        <w:rPr>
          <w:rFonts w:ascii="Times New Roman" w:hAnsi="Times New Roman" w:cs="Times New Roman"/>
          <w:sz w:val="28"/>
          <w:szCs w:val="28"/>
        </w:rPr>
        <w:t>во их образования</w:t>
      </w:r>
      <w:r w:rsidRPr="001A0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B7CE1" w14:textId="6B5A8D55" w:rsidR="00B6019B" w:rsidRDefault="00FF74B7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</w:t>
      </w:r>
      <w:r w:rsidR="00B6019B">
        <w:rPr>
          <w:rFonts w:ascii="Times New Roman" w:hAnsi="Times New Roman" w:cs="Times New Roman"/>
          <w:sz w:val="28"/>
          <w:szCs w:val="28"/>
        </w:rPr>
        <w:t>тся актуальными следующие рекомендации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01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727F7" w14:textId="613D4ED1" w:rsidR="00894F33" w:rsidRDefault="00B6019B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привлечение к участию</w:t>
      </w:r>
      <w:r w:rsidR="00581E2B" w:rsidRPr="001A068D">
        <w:rPr>
          <w:rFonts w:ascii="Times New Roman" w:hAnsi="Times New Roman" w:cs="Times New Roman"/>
          <w:sz w:val="28"/>
          <w:szCs w:val="28"/>
        </w:rPr>
        <w:t xml:space="preserve"> в работе научных кружков</w:t>
      </w:r>
      <w:r>
        <w:rPr>
          <w:rFonts w:ascii="Times New Roman" w:hAnsi="Times New Roman" w:cs="Times New Roman"/>
          <w:sz w:val="28"/>
          <w:szCs w:val="28"/>
        </w:rPr>
        <w:t xml:space="preserve">, ведению НИР; </w:t>
      </w:r>
      <w:r w:rsidR="000C1AFF">
        <w:rPr>
          <w:rFonts w:ascii="Times New Roman" w:hAnsi="Times New Roman" w:cs="Times New Roman"/>
          <w:sz w:val="28"/>
          <w:szCs w:val="28"/>
        </w:rPr>
        <w:t>предлагается увеличить аудиторные часы на подготовку НИР.</w:t>
      </w:r>
    </w:p>
    <w:p w14:paraId="048BA168" w14:textId="6B8ED2E3" w:rsidR="00CD7081" w:rsidRDefault="00894F3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081" w:rsidRPr="001A068D">
        <w:rPr>
          <w:rFonts w:ascii="Times New Roman" w:hAnsi="Times New Roman" w:cs="Times New Roman"/>
          <w:sz w:val="28"/>
          <w:szCs w:val="28"/>
        </w:rPr>
        <w:t>организовать работу по коммерциализации результатов НИР, создавать условия для материального стимулирования контрактно-грантовой деятельности ППС и студентов, использования результатов НИР на общероссийском и международном уровне.</w:t>
      </w:r>
    </w:p>
    <w:p w14:paraId="08DEAACA" w14:textId="77777777" w:rsidR="00C506A5" w:rsidRDefault="00FF74B7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Дополнительная рекомендация для программ технической направленности – доводить результаты НИР до регистрации патентов.</w:t>
      </w:r>
    </w:p>
    <w:p w14:paraId="4EDDEC1C" w14:textId="41E38887" w:rsidR="002A23C3" w:rsidRPr="00534ED0" w:rsidRDefault="008676A8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.9.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Участие работодателей в реализации программы</w:t>
      </w:r>
    </w:p>
    <w:p w14:paraId="3B1514E3" w14:textId="7500C8C8" w:rsidR="003D2B34" w:rsidRDefault="003D2B34" w:rsidP="003D2B3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отчетах оценка по критерию выше средней. </w:t>
      </w:r>
      <w:r w:rsidR="00A2031D" w:rsidRPr="001A068D">
        <w:rPr>
          <w:rFonts w:ascii="Times New Roman" w:hAnsi="Times New Roman" w:cs="Times New Roman"/>
          <w:sz w:val="28"/>
          <w:szCs w:val="28"/>
        </w:rPr>
        <w:t xml:space="preserve">Как показывают экспертные отчеты,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2031D" w:rsidRPr="001A068D">
        <w:rPr>
          <w:rFonts w:ascii="Times New Roman" w:hAnsi="Times New Roman" w:cs="Times New Roman"/>
          <w:sz w:val="28"/>
          <w:szCs w:val="28"/>
        </w:rPr>
        <w:t>аботодателей привлекают</w:t>
      </w:r>
      <w:r>
        <w:rPr>
          <w:rFonts w:ascii="Times New Roman" w:hAnsi="Times New Roman" w:cs="Times New Roman"/>
          <w:sz w:val="28"/>
          <w:szCs w:val="28"/>
        </w:rPr>
        <w:t xml:space="preserve"> на стадии планирования и реализации программы, а </w:t>
      </w:r>
      <w:r w:rsidR="00F74B43">
        <w:rPr>
          <w:rFonts w:ascii="Times New Roman" w:hAnsi="Times New Roman" w:cs="Times New Roman"/>
          <w:sz w:val="28"/>
          <w:szCs w:val="28"/>
        </w:rPr>
        <w:t>также при оценке сформированных</w:t>
      </w:r>
      <w:r>
        <w:rPr>
          <w:rFonts w:ascii="Times New Roman" w:hAnsi="Times New Roman" w:cs="Times New Roman"/>
          <w:sz w:val="28"/>
          <w:szCs w:val="28"/>
        </w:rPr>
        <w:t xml:space="preserve"> итоговых компетенций студентов выпускного курса.</w:t>
      </w:r>
      <w:r w:rsidR="00A2031D" w:rsidRPr="001A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участвуют в </w:t>
      </w:r>
      <w:r w:rsidR="0017712F">
        <w:rPr>
          <w:rFonts w:ascii="Times New Roman" w:hAnsi="Times New Roman" w:cs="Times New Roman"/>
          <w:sz w:val="28"/>
          <w:szCs w:val="28"/>
        </w:rPr>
        <w:t>ф</w:t>
      </w:r>
      <w:r w:rsidR="00A2031D" w:rsidRPr="001A068D">
        <w:rPr>
          <w:rFonts w:ascii="Times New Roman" w:hAnsi="Times New Roman" w:cs="Times New Roman"/>
          <w:sz w:val="28"/>
          <w:szCs w:val="28"/>
        </w:rPr>
        <w:t>ормировани</w:t>
      </w:r>
      <w:r w:rsidR="0017712F">
        <w:rPr>
          <w:rFonts w:ascii="Times New Roman" w:hAnsi="Times New Roman" w:cs="Times New Roman"/>
          <w:sz w:val="28"/>
          <w:szCs w:val="28"/>
        </w:rPr>
        <w:t>и</w:t>
      </w:r>
      <w:r w:rsidR="00A2031D" w:rsidRPr="001A068D">
        <w:rPr>
          <w:rFonts w:ascii="Times New Roman" w:hAnsi="Times New Roman" w:cs="Times New Roman"/>
          <w:sz w:val="28"/>
          <w:szCs w:val="28"/>
        </w:rPr>
        <w:t xml:space="preserve"> матрицы компетенций, </w:t>
      </w:r>
      <w:r>
        <w:rPr>
          <w:rFonts w:ascii="Times New Roman" w:hAnsi="Times New Roman" w:cs="Times New Roman"/>
          <w:sz w:val="28"/>
          <w:szCs w:val="28"/>
        </w:rPr>
        <w:t>состоят</w:t>
      </w:r>
      <w:r w:rsidR="00A2031D" w:rsidRPr="001A068D">
        <w:rPr>
          <w:rFonts w:ascii="Times New Roman" w:hAnsi="Times New Roman" w:cs="Times New Roman"/>
          <w:sz w:val="28"/>
          <w:szCs w:val="28"/>
        </w:rPr>
        <w:t xml:space="preserve"> в коллегиальных органах управления на разных уровнях (Ученый </w:t>
      </w:r>
      <w:r>
        <w:rPr>
          <w:rFonts w:ascii="Times New Roman" w:hAnsi="Times New Roman" w:cs="Times New Roman"/>
          <w:sz w:val="28"/>
          <w:szCs w:val="28"/>
        </w:rPr>
        <w:t>Совет ОУ, заседания кафедры), в</w:t>
      </w:r>
      <w:r w:rsidRPr="003D2B34">
        <w:rPr>
          <w:rFonts w:ascii="Times New Roman" w:hAnsi="Times New Roman" w:cs="Times New Roman"/>
          <w:sz w:val="28"/>
          <w:szCs w:val="28"/>
        </w:rPr>
        <w:t xml:space="preserve"> разработке и актуализации</w:t>
      </w:r>
      <w:r w:rsidR="00F74B43">
        <w:rPr>
          <w:rFonts w:ascii="Times New Roman" w:hAnsi="Times New Roman" w:cs="Times New Roman"/>
          <w:sz w:val="28"/>
          <w:szCs w:val="28"/>
        </w:rPr>
        <w:t>,</w:t>
      </w:r>
      <w:r w:rsidRPr="003D2B34">
        <w:rPr>
          <w:rFonts w:ascii="Times New Roman" w:hAnsi="Times New Roman" w:cs="Times New Roman"/>
          <w:sz w:val="28"/>
          <w:szCs w:val="28"/>
        </w:rPr>
        <w:t xml:space="preserve"> программ произво</w:t>
      </w:r>
      <w:r>
        <w:rPr>
          <w:rFonts w:ascii="Times New Roman" w:hAnsi="Times New Roman" w:cs="Times New Roman"/>
          <w:sz w:val="28"/>
          <w:szCs w:val="28"/>
        </w:rPr>
        <w:t>дственной практики, тематики</w:t>
      </w:r>
      <w:r w:rsidRPr="001A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Pr="001A068D">
        <w:rPr>
          <w:rFonts w:ascii="Times New Roman" w:hAnsi="Times New Roman" w:cs="Times New Roman"/>
          <w:sz w:val="28"/>
          <w:szCs w:val="28"/>
        </w:rPr>
        <w:t>работ, осуществляют руководство практикой студентов, руководство и рецензирование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, привлекаются к </w:t>
      </w:r>
      <w:r w:rsidR="00A2031D" w:rsidRPr="001A068D">
        <w:rPr>
          <w:rFonts w:ascii="Times New Roman" w:hAnsi="Times New Roman" w:cs="Times New Roman"/>
          <w:sz w:val="28"/>
          <w:szCs w:val="28"/>
        </w:rPr>
        <w:t>оценке выпускных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и входят в состав экзаменационных комиссий при итоговой аттестации студентов</w:t>
      </w:r>
      <w:r w:rsidR="008A0CA9" w:rsidRPr="001A068D">
        <w:rPr>
          <w:rFonts w:ascii="Times New Roman" w:hAnsi="Times New Roman" w:cs="Times New Roman"/>
          <w:sz w:val="28"/>
          <w:szCs w:val="28"/>
        </w:rPr>
        <w:t>.</w:t>
      </w:r>
    </w:p>
    <w:p w14:paraId="0B3FD7FA" w14:textId="0285F931" w:rsidR="00C506A5" w:rsidRDefault="00F74B43" w:rsidP="003D2B34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Однако в ряде случаем работодатели – это работающие по специальности преподаватели. Безусловно позитивна тенденция привлечения практиков к преподавательской деятельнос</w:t>
      </w:r>
      <w:r w:rsidR="0017712F">
        <w:rPr>
          <w:rFonts w:ascii="Times New Roman" w:hAnsi="Times New Roman" w:cs="Times New Roman"/>
          <w:sz w:val="28"/>
          <w:szCs w:val="28"/>
        </w:rPr>
        <w:t>ти, однако, актуальной становит</w:t>
      </w:r>
      <w:r>
        <w:rPr>
          <w:rFonts w:ascii="Times New Roman" w:hAnsi="Times New Roman" w:cs="Times New Roman"/>
          <w:sz w:val="28"/>
          <w:szCs w:val="28"/>
        </w:rPr>
        <w:t>ся рекомендация по расширению сети контактов и вариантов взаимодействий со сторонними работодателями, не являющимися преподавателями по программе.</w:t>
      </w:r>
    </w:p>
    <w:p w14:paraId="32B7CF6E" w14:textId="105AE334" w:rsidR="002A23C3" w:rsidRPr="00534ED0" w:rsidRDefault="008676A8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.10.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Участие студентов в определении содержания программ</w:t>
      </w:r>
      <w:r w:rsidRPr="00534ED0">
        <w:rPr>
          <w:rFonts w:ascii="Times New Roman" w:hAnsi="Times New Roman" w:cs="Times New Roman"/>
          <w:b/>
          <w:sz w:val="28"/>
          <w:szCs w:val="28"/>
        </w:rPr>
        <w:t>ы</w:t>
      </w:r>
    </w:p>
    <w:p w14:paraId="4623DBAA" w14:textId="77777777" w:rsidR="00B65370" w:rsidRDefault="00B65370" w:rsidP="006A39B8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критерии продолжает оставаться наименее успешно реализуемым в стране. Несмотря на формальное его выполнение, отношение в образовательных организациях как к равноправному участнику регуляции образовательного процесса наряду с администрацией программы не сформировано. </w:t>
      </w:r>
    </w:p>
    <w:p w14:paraId="63731223" w14:textId="68AEE777" w:rsidR="00436043" w:rsidRPr="001A068D" w:rsidRDefault="00436043" w:rsidP="006A39B8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 xml:space="preserve">В соответствии с данными экспертных отчетов в абсолютном большинстве образовательных организаций созданы органы студенческого самоуправления. Студенты, принимающие участие в работе этих органов, могут тем или иным образом оказывать влияние на принятие решений по организации и управлению учебным процессом. </w:t>
      </w:r>
    </w:p>
    <w:p w14:paraId="491A8DC5" w14:textId="59BC9011" w:rsidR="00B65370" w:rsidRPr="00B65370" w:rsidRDefault="006A39B8" w:rsidP="00B65370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актуальной информация о том, что </w:t>
      </w:r>
      <w:r w:rsidR="00436043" w:rsidRPr="001A068D">
        <w:rPr>
          <w:rFonts w:ascii="Times New Roman" w:hAnsi="Times New Roman" w:cs="Times New Roman"/>
          <w:sz w:val="28"/>
          <w:szCs w:val="28"/>
        </w:rPr>
        <w:t>значительная часть студентов не информирована в полном объеме о возможностях участия в решении вопросов, связанных с организацией и управлением учебным процессом. Кроме того, в части отчетов отмечается, что обучающиеся не имеют достаточной мотивации для активного участия в такой работе, в частности в фо</w:t>
      </w:r>
      <w:r w:rsidR="00B65370">
        <w:rPr>
          <w:rFonts w:ascii="Times New Roman" w:hAnsi="Times New Roman" w:cs="Times New Roman"/>
          <w:sz w:val="28"/>
          <w:szCs w:val="28"/>
        </w:rPr>
        <w:t xml:space="preserve">рмировании содержания программы, участии в опросах, так как не осведомлены о степени своих действий на образовательный процесс. </w:t>
      </w:r>
    </w:p>
    <w:p w14:paraId="4E4B8793" w14:textId="7E8A993B" w:rsidR="00C506A5" w:rsidRDefault="00B2554C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1A068D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эксперты рекомендуют разработать систему мер поощрения за активное </w:t>
      </w:r>
      <w:r w:rsidR="0017712F">
        <w:rPr>
          <w:rFonts w:ascii="Times New Roman" w:hAnsi="Times New Roman" w:cs="Times New Roman"/>
          <w:sz w:val="28"/>
          <w:szCs w:val="28"/>
        </w:rPr>
        <w:t xml:space="preserve">участие студентов в управлении </w:t>
      </w:r>
      <w:r w:rsidRPr="001A068D">
        <w:rPr>
          <w:rFonts w:ascii="Times New Roman" w:hAnsi="Times New Roman" w:cs="Times New Roman"/>
          <w:sz w:val="28"/>
          <w:szCs w:val="28"/>
        </w:rPr>
        <w:t>ОП, более активно привлекать студентов к участию в управлении программой, как через органы самоуправления, так и через налаживание активной обратной связи через л</w:t>
      </w:r>
      <w:r w:rsidR="00B65370">
        <w:rPr>
          <w:rFonts w:ascii="Times New Roman" w:hAnsi="Times New Roman" w:cs="Times New Roman"/>
          <w:sz w:val="28"/>
          <w:szCs w:val="28"/>
        </w:rPr>
        <w:t xml:space="preserve">ичный кабинет студента; </w:t>
      </w:r>
      <w:r w:rsidRPr="001A068D">
        <w:rPr>
          <w:rFonts w:ascii="Times New Roman" w:hAnsi="Times New Roman" w:cs="Times New Roman"/>
          <w:sz w:val="28"/>
          <w:szCs w:val="28"/>
        </w:rPr>
        <w:t>доводить до сведения студентов в полном объеме информацию о возможностях участия в управлении учебным процессом и о существующих мерах поощрения.</w:t>
      </w:r>
      <w:r w:rsidR="00B65370">
        <w:rPr>
          <w:rFonts w:ascii="Times New Roman" w:hAnsi="Times New Roman" w:cs="Times New Roman"/>
          <w:sz w:val="28"/>
          <w:szCs w:val="28"/>
        </w:rPr>
        <w:t xml:space="preserve"> Встречается рекомендации о включении информации об условиях самостоятельно</w:t>
      </w:r>
      <w:r w:rsidR="0017712F">
        <w:rPr>
          <w:rFonts w:ascii="Times New Roman" w:hAnsi="Times New Roman" w:cs="Times New Roman"/>
          <w:sz w:val="28"/>
          <w:szCs w:val="28"/>
        </w:rPr>
        <w:t>й</w:t>
      </w:r>
      <w:r w:rsidR="00B65370">
        <w:rPr>
          <w:rFonts w:ascii="Times New Roman" w:hAnsi="Times New Roman" w:cs="Times New Roman"/>
          <w:sz w:val="28"/>
          <w:szCs w:val="28"/>
        </w:rPr>
        <w:t xml:space="preserve"> работы в ряд вопросов в рамках обратной связи от студентов. </w:t>
      </w:r>
    </w:p>
    <w:p w14:paraId="09E75060" w14:textId="4D86C28A" w:rsidR="00B2554C" w:rsidRPr="00534ED0" w:rsidRDefault="00B2554C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.11.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Студенческие сервисы на программном уровне</w:t>
      </w:r>
    </w:p>
    <w:p w14:paraId="0D27FAE5" w14:textId="40A4D168" w:rsidR="008C5876" w:rsidRPr="001A068D" w:rsidRDefault="005051E6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государственные образовательные организации в России предоставляют широкие</w:t>
      </w:r>
      <w:r w:rsidR="00EE6641" w:rsidRPr="001A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E6641" w:rsidRPr="001A068D">
        <w:rPr>
          <w:rFonts w:ascii="Times New Roman" w:hAnsi="Times New Roman" w:cs="Times New Roman"/>
          <w:sz w:val="28"/>
          <w:szCs w:val="28"/>
        </w:rPr>
        <w:t>участвовать во внеучебной деятельности образовательной организации. Абсолютно большинство образовательных организаций регулярно проводят культурно-массовые и спортивные мероприятия для студентов, организуют регулярное проведение выездных конференций, семинаров, которые позволяют наиболее качественно сформировать необходимые личностные и социальные компетенции.</w:t>
      </w:r>
      <w:r w:rsidR="008C5876" w:rsidRPr="001A0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BD40F" w14:textId="0369AAB0" w:rsidR="00C506A5" w:rsidRDefault="005051E6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506A5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Рекомендуется организовывать тренинги по трудоустройству</w:t>
      </w:r>
      <w:r w:rsidR="000D77D3">
        <w:rPr>
          <w:rFonts w:ascii="Times New Roman" w:hAnsi="Times New Roman" w:cs="Times New Roman"/>
          <w:sz w:val="28"/>
          <w:szCs w:val="28"/>
        </w:rPr>
        <w:t xml:space="preserve"> на уровне направления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77D3">
        <w:rPr>
          <w:rFonts w:ascii="Times New Roman" w:hAnsi="Times New Roman" w:cs="Times New Roman"/>
          <w:sz w:val="28"/>
          <w:szCs w:val="28"/>
        </w:rPr>
        <w:t xml:space="preserve"> организовать для студентов выпускных курсов тренинги по составлению резюме и прохождению </w:t>
      </w:r>
      <w:r w:rsidR="0017712F">
        <w:rPr>
          <w:rFonts w:ascii="Times New Roman" w:hAnsi="Times New Roman" w:cs="Times New Roman"/>
          <w:sz w:val="28"/>
          <w:szCs w:val="28"/>
        </w:rPr>
        <w:t xml:space="preserve">собеседования. </w:t>
      </w:r>
    </w:p>
    <w:p w14:paraId="6BECB388" w14:textId="22C1E468" w:rsidR="002A23C3" w:rsidRPr="00534ED0" w:rsidRDefault="00B2554C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>.12.</w:t>
      </w:r>
      <w:r w:rsidR="002A23C3" w:rsidRPr="00534ED0">
        <w:rPr>
          <w:rFonts w:ascii="Times New Roman" w:hAnsi="Times New Roman" w:cs="Times New Roman"/>
          <w:b/>
          <w:sz w:val="28"/>
          <w:szCs w:val="28"/>
        </w:rPr>
        <w:tab/>
        <w:t>Профориентация. Оценка качества подготовки абитуриентов</w:t>
      </w:r>
      <w:r w:rsidR="00384041" w:rsidRPr="00534ED0">
        <w:rPr>
          <w:rFonts w:ascii="Times New Roman" w:hAnsi="Times New Roman" w:cs="Times New Roman"/>
          <w:b/>
          <w:sz w:val="28"/>
          <w:szCs w:val="28"/>
        </w:rPr>
        <w:t>.</w:t>
      </w:r>
    </w:p>
    <w:p w14:paraId="5774B967" w14:textId="42FFE79C" w:rsidR="003818CA" w:rsidRPr="001A068D" w:rsidRDefault="002C56BD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стране с 90-х годов по 2012 произошел демографический спад рождаемости, в общем предложение в сфере услуг высшего образования превышает спрос. Соответственно традиционно в образовательных организациях налажена профориентиацонная работа с целью активации</w:t>
      </w:r>
      <w:r w:rsidR="003818CA" w:rsidRPr="001A068D">
        <w:rPr>
          <w:rFonts w:ascii="Times New Roman" w:hAnsi="Times New Roman" w:cs="Times New Roman"/>
          <w:sz w:val="28"/>
          <w:szCs w:val="28"/>
        </w:rPr>
        <w:t xml:space="preserve"> набора </w:t>
      </w:r>
      <w:r>
        <w:rPr>
          <w:rFonts w:ascii="Times New Roman" w:hAnsi="Times New Roman" w:cs="Times New Roman"/>
          <w:sz w:val="28"/>
          <w:szCs w:val="28"/>
        </w:rPr>
        <w:t>студентов.</w:t>
      </w:r>
      <w:r w:rsidR="00384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4E957" w14:textId="77777777" w:rsidR="003C7463" w:rsidRDefault="003C746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 xml:space="preserve">Кроме того, в большинстве образовательных организаций созданы возможности для подготовки абитуриентов к вступительным испытаниям и сдаче ЕГЭ. </w:t>
      </w:r>
      <w:r w:rsidR="003818CA" w:rsidRPr="001A068D">
        <w:rPr>
          <w:rFonts w:ascii="Times New Roman" w:hAnsi="Times New Roman" w:cs="Times New Roman"/>
          <w:sz w:val="28"/>
          <w:szCs w:val="28"/>
        </w:rPr>
        <w:t>Консультативная помощь потенциальным абитуриентам оказывается в рамках межвузовских мероприятий, таких как выставка «Образование и карьера», «Ярмарка профессий» и др.</w:t>
      </w:r>
    </w:p>
    <w:p w14:paraId="2AD5F72D" w14:textId="41126CFF" w:rsidR="00384041" w:rsidRDefault="00384041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Встречаются рекомендации по развитию дистанционной профориентационной работы, что позволит увеличить географию деятельности образовательных организаций по данному направлена (обеспечивать работу с абитуриентами не только в рамках региона). </w:t>
      </w:r>
    </w:p>
    <w:p w14:paraId="036440ED" w14:textId="6D784B64" w:rsidR="00384041" w:rsidRPr="001A068D" w:rsidRDefault="00384041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важность профориентационных мероприятий для студентов бакалавриата.</w:t>
      </w:r>
    </w:p>
    <w:p w14:paraId="48508709" w14:textId="6E652656" w:rsidR="003C7463" w:rsidRPr="001A068D" w:rsidRDefault="003C746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8D">
        <w:rPr>
          <w:rFonts w:ascii="Times New Roman" w:hAnsi="Times New Roman" w:cs="Times New Roman"/>
          <w:sz w:val="28"/>
          <w:szCs w:val="28"/>
        </w:rPr>
        <w:t xml:space="preserve">В целом уровень работы образовательных организаций по профориентации и подготовке абитуриентов </w:t>
      </w:r>
      <w:r w:rsidR="002C56BD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1A068D">
        <w:rPr>
          <w:rFonts w:ascii="Times New Roman" w:hAnsi="Times New Roman" w:cs="Times New Roman"/>
          <w:sz w:val="28"/>
          <w:szCs w:val="28"/>
        </w:rPr>
        <w:t xml:space="preserve">оценивается экспертами как </w:t>
      </w:r>
      <w:r w:rsidR="00384041">
        <w:rPr>
          <w:rFonts w:ascii="Times New Roman" w:hAnsi="Times New Roman" w:cs="Times New Roman"/>
          <w:sz w:val="28"/>
          <w:szCs w:val="28"/>
        </w:rPr>
        <w:t>высокий</w:t>
      </w:r>
      <w:r w:rsidRPr="001A06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6C16DC" w14:textId="36BE1F91" w:rsidR="003818CA" w:rsidRPr="001A068D" w:rsidRDefault="003818CA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E6040" w14:textId="77777777" w:rsidR="003818CA" w:rsidRPr="001A068D" w:rsidRDefault="003818CA" w:rsidP="001A068D">
      <w:pPr>
        <w:tabs>
          <w:tab w:val="left" w:pos="0"/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D58C25" w14:textId="77777777" w:rsidR="001A068D" w:rsidRDefault="001A068D" w:rsidP="001A06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DC396" w14:textId="71468ACF" w:rsidR="003C7463" w:rsidRDefault="00384041" w:rsidP="001A068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670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АККОРК за 201</w:t>
      </w:r>
      <w:r w:rsidR="0008514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966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1252" w:type="dxa"/>
        <w:tblInd w:w="-1134" w:type="dxa"/>
        <w:tblLook w:val="04A0" w:firstRow="1" w:lastRow="0" w:firstColumn="1" w:lastColumn="0" w:noHBand="0" w:noVBand="1"/>
      </w:tblPr>
      <w:tblGrid>
        <w:gridCol w:w="3686"/>
        <w:gridCol w:w="1316"/>
        <w:gridCol w:w="1322"/>
        <w:gridCol w:w="1755"/>
        <w:gridCol w:w="588"/>
        <w:gridCol w:w="397"/>
        <w:gridCol w:w="1569"/>
        <w:gridCol w:w="619"/>
      </w:tblGrid>
      <w:tr w:rsidR="00605A5D" w:rsidRPr="00476FAD" w14:paraId="54067B43" w14:textId="77777777" w:rsidTr="00605A5D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0112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ED6C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8EC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BD21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7D86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52BAF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9C6A5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A5D" w:rsidRPr="00476FAD" w14:paraId="40DF74AF" w14:textId="77777777" w:rsidTr="00605A5D">
        <w:trPr>
          <w:trHeight w:val="25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39295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1E6A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программ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C2DE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оценка для целей проф.общ аккредит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3289E0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Независимая оценка и общественная аккредитация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E03E4D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 аккредит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76B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аккредитующая организация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34A660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5D" w:rsidRPr="00476FAD" w14:paraId="3F9A80F4" w14:textId="77777777" w:rsidTr="00605A5D">
        <w:trPr>
          <w:trHeight w:val="40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462C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6CF5B4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1ACD8F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4CD89E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01EEDEE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6B5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vAlign w:val="center"/>
          </w:tcPr>
          <w:p w14:paraId="1E947007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5D" w:rsidRPr="00476FAD" w14:paraId="4B722DC0" w14:textId="77777777" w:rsidTr="00605A5D">
        <w:trPr>
          <w:trHeight w:val="40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E443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AEAD17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332186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99E72D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C46667C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ABA4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vAlign w:val="center"/>
          </w:tcPr>
          <w:p w14:paraId="4D839183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5D" w:rsidRPr="00476FAD" w14:paraId="54F4BD40" w14:textId="77777777" w:rsidTr="00605A5D">
        <w:trPr>
          <w:trHeight w:val="408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1EC73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8DF7A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D23425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74DB4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DCB934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A5F5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vAlign w:val="center"/>
          </w:tcPr>
          <w:p w14:paraId="6B2065F8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5D" w:rsidRPr="000D65E9" w14:paraId="53183423" w14:textId="77777777" w:rsidTr="00605A5D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184A" w14:textId="77777777" w:rsidR="00605A5D" w:rsidRPr="000D65E9" w:rsidRDefault="00605A5D" w:rsidP="002A5465">
            <w:pPr>
              <w:spacing w:after="0" w:line="240" w:lineRule="auto"/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 xml:space="preserve"> "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промышленности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>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B92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68E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E312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AB9E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BA8B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64E40CA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09DF9986" w14:textId="77777777" w:rsidTr="00605A5D">
        <w:trPr>
          <w:trHeight w:val="109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09BD" w14:textId="77777777" w:rsidR="00605A5D" w:rsidRPr="000D65E9" w:rsidRDefault="00605A5D" w:rsidP="002A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 (КГЭУ)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38E8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B2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E63E1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7B19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0C01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559D2D4C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6C753875" w14:textId="77777777" w:rsidTr="00605A5D">
        <w:trPr>
          <w:trHeight w:val="10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16625" w14:textId="77777777" w:rsidR="00605A5D" w:rsidRPr="000D65E9" w:rsidRDefault="00605A5D" w:rsidP="002A5465">
            <w:pPr>
              <w:spacing w:after="0" w:line="240" w:lineRule="auto"/>
              <w:jc w:val="both"/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</w:pPr>
            <w:r w:rsidRPr="000D65E9">
              <w:rPr>
                <w:rFonts w:eastAsia="Times New Roman" w:cs="Calibri"/>
                <w:color w:val="000000"/>
                <w:lang w:eastAsia="ru-RU"/>
              </w:rPr>
              <w:t>ф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>едеральное государственное автономное  образовательное учреждение высшего образования «Российский университет дружбы народов» (РУДН)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889A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DC2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08E5B8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6168A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EFC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DEVA-AAC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52B7B3B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28AE34E9" w14:textId="77777777" w:rsidTr="00605A5D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251" w14:textId="77777777" w:rsidR="00605A5D" w:rsidRPr="000D65E9" w:rsidRDefault="00605A5D" w:rsidP="002A546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>» (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РЭУ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 xml:space="preserve">. 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>.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D65E9">
              <w:rPr>
                <w:rFonts w:ascii="Adobe Garamond Pro Bold" w:eastAsia="Times New Roman" w:hAnsi="Adobe Garamond Pro Bold" w:cs="Adobe Garamond Pro Bold"/>
                <w:color w:val="000000"/>
                <w:lang w:eastAsia="ru-RU"/>
              </w:rPr>
              <w:t>.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Плеханова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>)</w:t>
            </w:r>
            <w:r w:rsidRPr="000D65E9">
              <w:rPr>
                <w:rFonts w:eastAsia="Times New Roman" w:cs="Calibri"/>
                <w:color w:val="000000"/>
                <w:lang w:eastAsia="ru-RU"/>
              </w:rPr>
              <w:t xml:space="preserve"> (ДПО)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86A54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0D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74A4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B81E91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965A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743ECF93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400FB390" w14:textId="77777777" w:rsidTr="00605A5D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A7E2" w14:textId="77777777" w:rsidR="00605A5D" w:rsidRPr="000D65E9" w:rsidRDefault="00605A5D" w:rsidP="002A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eastAsia="Times New Roman" w:cs="Calibri"/>
                <w:color w:val="000000"/>
                <w:lang w:eastAsia="ru-RU"/>
              </w:rPr>
              <w:t>ф</w:t>
            </w: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>едеральное государственное автономное  образовательное учреждение высшего образования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«Санкт-Петербургский государственный университет » (СПбГУ)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56FC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0D65E9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131C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2E47A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3E4DA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5271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ZEvA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4A8A8B5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05A5D" w:rsidRPr="000D65E9" w14:paraId="689DAFFA" w14:textId="77777777" w:rsidTr="00605A5D">
        <w:trPr>
          <w:trHeight w:val="189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6EEF" w14:textId="77777777" w:rsidR="00605A5D" w:rsidRPr="000D65E9" w:rsidRDefault="00605A5D" w:rsidP="002A5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Южно-Российский институт управления - филиал РАНХиГС (ЮРИУ РАНХиГС)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749594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E9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24FC8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F8E7E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D52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0A2FD8D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69A673BC" w14:textId="77777777" w:rsidTr="00605A5D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4F2CC" w14:textId="77777777" w:rsidR="00605A5D" w:rsidRPr="000D65E9" w:rsidRDefault="00605A5D" w:rsidP="002A546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 (ТИУ)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341F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F7B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3FEDC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E51B36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9F91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14:paraId="256332F4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A5D" w:rsidRPr="000D65E9" w14:paraId="488B1205" w14:textId="77777777" w:rsidTr="00605A5D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2DCDF" w14:textId="77777777" w:rsidR="00605A5D" w:rsidRPr="000D65E9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</w:pPr>
            <w:r w:rsidRPr="000D65E9">
              <w:rPr>
                <w:rFonts w:ascii="Adobe Garamond Pro Bold" w:eastAsia="Times New Roman" w:hAnsi="Adobe Garamond Pro Bold" w:cs="Calibri"/>
                <w:color w:val="000000"/>
                <w:lang w:eastAsia="ru-RU"/>
              </w:rPr>
              <w:t> </w:t>
            </w: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Pr="000D65E9"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D02E3B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43 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A5166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615FD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1A788C4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3674D5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000000" w:fill="F2F2F2"/>
            <w:vAlign w:val="center"/>
          </w:tcPr>
          <w:p w14:paraId="3B2D00F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05A5D" w:rsidRPr="00476FAD" w14:paraId="009DD5FA" w14:textId="77777777" w:rsidTr="00605A5D">
        <w:trPr>
          <w:trHeight w:val="285"/>
        </w:trPr>
        <w:tc>
          <w:tcPr>
            <w:tcW w:w="368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A3F212F" w14:textId="77777777" w:rsidR="00605A5D" w:rsidRPr="00476FAD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8D9FA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EED64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5D732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D56AF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1A732FEC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000000" w:fill="FFFFFF"/>
            <w:vAlign w:val="center"/>
          </w:tcPr>
          <w:p w14:paraId="50023AFD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A5D" w:rsidRPr="00476FAD" w14:paraId="1B9CE041" w14:textId="77777777" w:rsidTr="00605A5D">
        <w:trPr>
          <w:trHeight w:val="285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69809" w14:textId="77777777" w:rsidR="00605A5D" w:rsidRPr="00476FAD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Adobe Garamond Pro Bold" w:eastAsia="Times New Roman" w:hAnsi="Adobe Garamond Pro Bold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35E4C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5646C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A62C4" w14:textId="77777777" w:rsidR="00605A5D" w:rsidRPr="00476FA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BE9BF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3177B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8B462" w14:textId="77777777" w:rsidR="00605A5D" w:rsidRPr="00476FA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A5D" w:rsidRPr="000D65E9" w14:paraId="1A15A731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07B" w14:textId="77777777" w:rsidR="00605A5D" w:rsidRPr="000D65E9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ВУЗЫ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AD6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033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096DF4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 проектов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C0CD8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Modern No. 20" w:eastAsia="Times New Roman" w:hAnsi="Modern No. 20" w:cs="Calibri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r w:rsidRPr="000D65E9">
              <w:rPr>
                <w:rFonts w:ascii="Modern No. 20" w:eastAsia="Times New Roman" w:hAnsi="Modern No. 20" w:cs="Modern No. 20"/>
                <w:b/>
                <w:bCs/>
                <w:color w:val="000000"/>
                <w:lang w:eastAsia="ru-RU"/>
              </w:rPr>
              <w:t>-</w:t>
            </w: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0D65E9">
              <w:rPr>
                <w:rFonts w:ascii="Modern No. 20" w:eastAsia="Times New Roman" w:hAnsi="Modern No. 20" w:cs="Modern No. 20"/>
                <w:b/>
                <w:bCs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</w:tr>
      <w:tr w:rsidR="00605A5D" w:rsidRPr="000D65E9" w14:paraId="69E6DAE2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BC8" w14:textId="77777777" w:rsidR="00605A5D" w:rsidRPr="000D65E9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КОЛЛЕДЖИ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E58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CC3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22D2E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C229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605A5D" w:rsidRPr="000D65E9" w14:paraId="10E92D94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7F195" w14:textId="77777777" w:rsidR="00605A5D" w:rsidRPr="000D65E9" w:rsidRDefault="00605A5D" w:rsidP="002A5465">
            <w:pPr>
              <w:spacing w:after="0" w:line="240" w:lineRule="auto"/>
              <w:jc w:val="right"/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</w:pPr>
            <w:r w:rsidRPr="000D65E9"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BC709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58F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409FE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01318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5A5D" w:rsidRPr="000D65E9" w14:paraId="2E175C8C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4089" w14:textId="77777777" w:rsidR="00605A5D" w:rsidRPr="000D65E9" w:rsidRDefault="00605A5D" w:rsidP="002A5465">
            <w:pPr>
              <w:spacing w:after="0" w:line="240" w:lineRule="auto"/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 типам</w:t>
            </w:r>
            <w:r w:rsidRPr="000D65E9">
              <w:rPr>
                <w:rFonts w:ascii="Adobe Garamond Pro Bold" w:eastAsia="Times New Roman" w:hAnsi="Adobe Garamond Pro Bold" w:cs="Calibri"/>
                <w:b/>
                <w:bCs/>
                <w:color w:val="000000"/>
                <w:lang w:eastAsia="ru-RU"/>
              </w:rPr>
              <w:t xml:space="preserve"> </w:t>
            </w: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аккредитации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A355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ОП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4CC5E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11FD9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F7850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5A5D" w:rsidRPr="000D65E9" w14:paraId="450A9D00" w14:textId="77777777" w:rsidTr="00605A5D">
        <w:trPr>
          <w:gridAfter w:val="1"/>
          <w:wAfter w:w="619" w:type="dxa"/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4630C7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ОП ПОА 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102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B9A9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75414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12AFA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A5D" w:rsidRPr="000D65E9" w14:paraId="38014011" w14:textId="77777777" w:rsidTr="00605A5D">
        <w:trPr>
          <w:gridAfter w:val="1"/>
          <w:wAfter w:w="61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35DD38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ОП МА АККОРК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8D7B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65E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5CE3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C2297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E88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5A5D" w:rsidRPr="000D65E9" w14:paraId="06846E81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393A9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ОП ЗА (DEVA, ZEvA, FIBAA)</w:t>
            </w: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8C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82CD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5D800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AC56A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05A5D" w:rsidRPr="000D65E9" w14:paraId="1C8BFE03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2D6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ИНСТИТУЦИОНАЛЬНАЯ АККРЕДИТАЦИЯ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985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4B9F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8F776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Дальневосточный ФО 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4A6EDE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5A5D" w:rsidRPr="000D65E9" w14:paraId="6DCF2B0A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D942E78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79075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D8A55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BB0B0B4" w14:textId="14F87FE2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477AA5B" w14:textId="1C4EB302" w:rsidR="00605A5D" w:rsidRPr="00605A5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605A5D" w:rsidRPr="000D65E9" w14:paraId="3538D35D" w14:textId="77777777" w:rsidTr="00605A5D">
        <w:trPr>
          <w:gridAfter w:val="1"/>
          <w:wAfter w:w="619" w:type="dxa"/>
          <w:trHeight w:val="315"/>
        </w:trPr>
        <w:tc>
          <w:tcPr>
            <w:tcW w:w="3686" w:type="dxa"/>
            <w:shd w:val="clear" w:color="000000" w:fill="FFFFFF"/>
            <w:vAlign w:val="center"/>
          </w:tcPr>
          <w:p w14:paraId="5BCEFB25" w14:textId="77777777" w:rsidR="00605A5D" w:rsidRPr="000D65E9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E8592A2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722AC" w14:textId="77777777" w:rsidR="00605A5D" w:rsidRPr="000D65E9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ADA07D0" w14:textId="4BD57A29" w:rsidR="00605A5D" w:rsidRPr="00605A5D" w:rsidRDefault="00605A5D" w:rsidP="002A5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6A7C8B" w14:textId="12360628" w:rsidR="00605A5D" w:rsidRPr="00605A5D" w:rsidRDefault="00605A5D" w:rsidP="002A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</w:tr>
    </w:tbl>
    <w:p w14:paraId="5B624405" w14:textId="77777777" w:rsidR="00605A5D" w:rsidRDefault="00605A5D" w:rsidP="00605A5D">
      <w:pPr>
        <w:pStyle w:val="a3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  <w:sectPr w:rsidR="00605A5D" w:rsidSect="0008514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63A25AE8" w14:textId="506E415B" w:rsidR="003C7463" w:rsidRPr="00085146" w:rsidRDefault="003C7463" w:rsidP="001A068D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Заключение. </w:t>
      </w:r>
    </w:p>
    <w:p w14:paraId="7D6F3901" w14:textId="4D9B9E08" w:rsidR="004F70BE" w:rsidRPr="00604703" w:rsidRDefault="00604703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703">
        <w:rPr>
          <w:rFonts w:ascii="Times New Roman" w:hAnsi="Times New Roman" w:cs="Times New Roman"/>
          <w:sz w:val="28"/>
          <w:szCs w:val="28"/>
        </w:rPr>
        <w:t>С</w:t>
      </w:r>
      <w:r w:rsidR="000D5AB6" w:rsidRPr="00604703">
        <w:rPr>
          <w:rFonts w:ascii="Times New Roman" w:hAnsi="Times New Roman" w:cs="Times New Roman"/>
          <w:sz w:val="28"/>
          <w:szCs w:val="28"/>
        </w:rPr>
        <w:t>равнительный анализ экспертных отчетов за 201</w:t>
      </w:r>
      <w:r w:rsidRPr="00604703">
        <w:rPr>
          <w:rFonts w:ascii="Times New Roman" w:hAnsi="Times New Roman" w:cs="Times New Roman"/>
          <w:sz w:val="28"/>
          <w:szCs w:val="28"/>
        </w:rPr>
        <w:t>8</w:t>
      </w:r>
      <w:r w:rsidR="000D5AB6" w:rsidRPr="00604703">
        <w:rPr>
          <w:rFonts w:ascii="Times New Roman" w:hAnsi="Times New Roman" w:cs="Times New Roman"/>
          <w:sz w:val="28"/>
          <w:szCs w:val="28"/>
        </w:rPr>
        <w:t xml:space="preserve"> год позволяет выявить общие тенденции развития и наиболее распространенные проблемы, с которыми сталкиваются образовательные </w:t>
      </w:r>
      <w:r w:rsidR="0017712F">
        <w:rPr>
          <w:rFonts w:ascii="Times New Roman" w:hAnsi="Times New Roman" w:cs="Times New Roman"/>
          <w:sz w:val="28"/>
          <w:szCs w:val="28"/>
        </w:rPr>
        <w:t>организации в ходе реализации О</w:t>
      </w:r>
      <w:r w:rsidR="000D5AB6" w:rsidRPr="00604703">
        <w:rPr>
          <w:rFonts w:ascii="Times New Roman" w:hAnsi="Times New Roman" w:cs="Times New Roman"/>
          <w:sz w:val="28"/>
          <w:szCs w:val="28"/>
        </w:rPr>
        <w:t>П. Одна из наиболее ярки</w:t>
      </w:r>
      <w:r w:rsidR="002D3F76" w:rsidRPr="00604703">
        <w:rPr>
          <w:rFonts w:ascii="Times New Roman" w:hAnsi="Times New Roman" w:cs="Times New Roman"/>
          <w:sz w:val="28"/>
          <w:szCs w:val="28"/>
        </w:rPr>
        <w:t>х тенденций заключается в</w:t>
      </w:r>
      <w:r w:rsidR="001A068D" w:rsidRPr="00604703">
        <w:rPr>
          <w:rFonts w:ascii="Times New Roman" w:hAnsi="Times New Roman" w:cs="Times New Roman"/>
          <w:sz w:val="28"/>
          <w:szCs w:val="28"/>
        </w:rPr>
        <w:t xml:space="preserve"> стремительном</w:t>
      </w:r>
      <w:r w:rsidR="002D3F76" w:rsidRPr="00604703">
        <w:rPr>
          <w:rFonts w:ascii="Times New Roman" w:hAnsi="Times New Roman" w:cs="Times New Roman"/>
          <w:sz w:val="28"/>
          <w:szCs w:val="28"/>
        </w:rPr>
        <w:t xml:space="preserve"> расширении использования ИКТ как в управлении образовательными программами, так и в самом учебном процессе. </w:t>
      </w:r>
    </w:p>
    <w:p w14:paraId="3F14C939" w14:textId="77777777" w:rsidR="0078581F" w:rsidRPr="00604703" w:rsidRDefault="0078581F" w:rsidP="007858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ситуация, при которой руководство программы не всегда производит ее позиционирование на рынке образовательных услуг сообразно ее конкурентным преимуществам. </w:t>
      </w:r>
    </w:p>
    <w:p w14:paraId="733ADC80" w14:textId="77777777" w:rsidR="00604703" w:rsidRDefault="00604703" w:rsidP="00604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 всех крупных российских образовательных организациях существует подразделение, ответственное за систему менеджмента качества образования. Продолжает совершенствоваться на программных уровнях</w:t>
      </w:r>
      <w:r w:rsidRPr="001A068D">
        <w:rPr>
          <w:rFonts w:ascii="Times New Roman" w:hAnsi="Times New Roman" w:cs="Times New Roman"/>
          <w:sz w:val="28"/>
          <w:szCs w:val="28"/>
        </w:rPr>
        <w:t xml:space="preserve"> система внутреннего м</w:t>
      </w:r>
      <w:r>
        <w:rPr>
          <w:rFonts w:ascii="Times New Roman" w:hAnsi="Times New Roman" w:cs="Times New Roman"/>
          <w:sz w:val="28"/>
          <w:szCs w:val="28"/>
        </w:rPr>
        <w:t>ониторинга качества образования. Основными рекомендациями по данному вопросу являются следующие: доводить результаты обратной связи до респондентов (студентов, преподавателей, работодателей), а также систематическое составление плана улучшений на основе обратной связи и отчет о результатах его реализации.</w:t>
      </w:r>
    </w:p>
    <w:p w14:paraId="5797002A" w14:textId="77777777" w:rsidR="00604703" w:rsidRPr="001A068D" w:rsidRDefault="00604703" w:rsidP="00604703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68D">
        <w:rPr>
          <w:rFonts w:ascii="Times New Roman" w:hAnsi="Times New Roman" w:cs="Times New Roman"/>
          <w:sz w:val="28"/>
          <w:szCs w:val="28"/>
        </w:rPr>
        <w:t>Во многих образовательных организациях в рамках учебных занятий предусмотрены встречи с представителями российских и зарубежных компаний, государственных и общественных организаций, мастер</w:t>
      </w:r>
      <w:r>
        <w:rPr>
          <w:rFonts w:ascii="Times New Roman" w:hAnsi="Times New Roman" w:cs="Times New Roman"/>
          <w:sz w:val="28"/>
          <w:szCs w:val="28"/>
        </w:rPr>
        <w:t>-классы специалистов отрасли</w:t>
      </w:r>
      <w:r w:rsidRPr="001A068D">
        <w:rPr>
          <w:rFonts w:ascii="Times New Roman" w:hAnsi="Times New Roman" w:cs="Times New Roman"/>
          <w:sz w:val="28"/>
          <w:szCs w:val="28"/>
        </w:rPr>
        <w:t>.</w:t>
      </w:r>
    </w:p>
    <w:p w14:paraId="188AACE4" w14:textId="56EE3C79" w:rsidR="00604703" w:rsidRPr="001A068D" w:rsidRDefault="00604703" w:rsidP="006047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6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leaning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функционируют во всех крупных вузах страны. В прошлый период основной рекомендацией по данному критерию была необходимость совершенствования системы мотивации преподавательского состава с целью активизации создания электронных курсов и других форм активного использования электронной платформы в образовательном процессе.  В настоящее время в электронный формат переведены большие части курсов (текстовый, аудио и видео формат), однако электронные ресурсы используются в большей степени как репозитории, а не как платформы реализации образовательного процесса (он-лайн лекции, он-лайн тестирования и пр.).</w:t>
      </w:r>
    </w:p>
    <w:p w14:paraId="4C82D926" w14:textId="384DBBB5" w:rsidR="003C7463" w:rsidRPr="001A068D" w:rsidRDefault="00B8266F" w:rsidP="001A068D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6F">
        <w:rPr>
          <w:rFonts w:ascii="Times New Roman" w:hAnsi="Times New Roman" w:cs="Times New Roman"/>
          <w:sz w:val="28"/>
          <w:szCs w:val="28"/>
        </w:rPr>
        <w:t>По сравнению с прошлыми годами в образовательных организациях налажена работа личных кабинетов студентов, в системе созданы сервисы, которые позволят обмениваться студентам и преподавателям информацией. Актуальна тенденция к привлечению к преподавательской деятельности специалистов, имеющих текущий практический опыт по профилю дисциплины.</w:t>
      </w:r>
    </w:p>
    <w:sectPr w:rsidR="003C7463" w:rsidRPr="001A068D" w:rsidSect="000851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7FBA" w14:textId="77777777" w:rsidR="00E52C88" w:rsidRDefault="00E52C88">
      <w:pPr>
        <w:spacing w:after="0" w:line="240" w:lineRule="auto"/>
      </w:pPr>
      <w:r>
        <w:separator/>
      </w:r>
    </w:p>
  </w:endnote>
  <w:endnote w:type="continuationSeparator" w:id="0">
    <w:p w14:paraId="42CE02CC" w14:textId="77777777" w:rsidR="00E52C88" w:rsidRDefault="00E5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27FBC" w14:textId="77777777" w:rsidR="0013625A" w:rsidRDefault="001362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19B">
      <w:rPr>
        <w:noProof/>
      </w:rPr>
      <w:t>1</w:t>
    </w:r>
    <w:r>
      <w:rPr>
        <w:noProof/>
      </w:rPr>
      <w:fldChar w:fldCharType="end"/>
    </w:r>
  </w:p>
  <w:p w14:paraId="53EB17AD" w14:textId="77777777" w:rsidR="0013625A" w:rsidRDefault="0013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0EBB" w14:textId="77777777" w:rsidR="00E52C88" w:rsidRDefault="00E52C88">
      <w:pPr>
        <w:spacing w:after="0" w:line="240" w:lineRule="auto"/>
      </w:pPr>
      <w:r>
        <w:separator/>
      </w:r>
    </w:p>
  </w:footnote>
  <w:footnote w:type="continuationSeparator" w:id="0">
    <w:p w14:paraId="506BCE61" w14:textId="77777777" w:rsidR="00E52C88" w:rsidRDefault="00E5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0000003D"/>
    <w:lvl w:ilvl="0">
      <w:start w:val="1"/>
      <w:numFmt w:val="decimal"/>
      <w:lvlText w:val="%1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86A76"/>
    <w:multiLevelType w:val="multilevel"/>
    <w:tmpl w:val="B9A8DE3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07D82CAC"/>
    <w:multiLevelType w:val="multilevel"/>
    <w:tmpl w:val="3C40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640" w:hanging="1560"/>
      </w:pPr>
      <w:rPr>
        <w:rFonts w:ascii="Calibri" w:hAnsi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BC3"/>
    <w:multiLevelType w:val="multilevel"/>
    <w:tmpl w:val="ED1A7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805570B"/>
    <w:multiLevelType w:val="multilevel"/>
    <w:tmpl w:val="28DA9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08195510"/>
    <w:multiLevelType w:val="multilevel"/>
    <w:tmpl w:val="ED1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8E7292D"/>
    <w:multiLevelType w:val="multilevel"/>
    <w:tmpl w:val="9B00D50E"/>
    <w:lvl w:ilvl="0">
      <w:start w:val="1"/>
      <w:numFmt w:val="decimal"/>
      <w:lvlText w:val="%1."/>
      <w:lvlJc w:val="left"/>
      <w:pPr>
        <w:ind w:left="1915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151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5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12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9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99" w:hanging="2160"/>
      </w:pPr>
      <w:rPr>
        <w:rFonts w:cs="Times New Roman" w:hint="default"/>
      </w:rPr>
    </w:lvl>
  </w:abstractNum>
  <w:abstractNum w:abstractNumId="7" w15:restartNumberingAfterBreak="0">
    <w:nsid w:val="092A3CFD"/>
    <w:multiLevelType w:val="multilevel"/>
    <w:tmpl w:val="F1F4B6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0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8" w15:restartNumberingAfterBreak="0">
    <w:nsid w:val="0AD824DB"/>
    <w:multiLevelType w:val="hybridMultilevel"/>
    <w:tmpl w:val="5A52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B41B6"/>
    <w:multiLevelType w:val="hybridMultilevel"/>
    <w:tmpl w:val="7488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30241"/>
    <w:multiLevelType w:val="multilevel"/>
    <w:tmpl w:val="ED1A7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hint="default"/>
      </w:rPr>
    </w:lvl>
  </w:abstractNum>
  <w:abstractNum w:abstractNumId="11" w15:restartNumberingAfterBreak="0">
    <w:nsid w:val="162658E8"/>
    <w:multiLevelType w:val="multilevel"/>
    <w:tmpl w:val="F258B49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6C63D3"/>
    <w:multiLevelType w:val="multilevel"/>
    <w:tmpl w:val="EF36A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4560E2"/>
    <w:multiLevelType w:val="hybridMultilevel"/>
    <w:tmpl w:val="1356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866"/>
    <w:multiLevelType w:val="hybridMultilevel"/>
    <w:tmpl w:val="3C4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383D54">
      <w:start w:val="1"/>
      <w:numFmt w:val="decimal"/>
      <w:lvlText w:val="%2."/>
      <w:lvlJc w:val="left"/>
      <w:pPr>
        <w:ind w:left="2640" w:hanging="15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B5B92"/>
    <w:multiLevelType w:val="hybridMultilevel"/>
    <w:tmpl w:val="933E394E"/>
    <w:lvl w:ilvl="0" w:tplc="418E5B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E2E62"/>
    <w:multiLevelType w:val="hybridMultilevel"/>
    <w:tmpl w:val="CD6C5BA6"/>
    <w:lvl w:ilvl="0" w:tplc="734C85A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6A40C43"/>
    <w:multiLevelType w:val="multilevel"/>
    <w:tmpl w:val="701E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7D66A1C"/>
    <w:multiLevelType w:val="multilevel"/>
    <w:tmpl w:val="E8B8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C0B61DB"/>
    <w:multiLevelType w:val="hybridMultilevel"/>
    <w:tmpl w:val="D80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C72C4"/>
    <w:multiLevelType w:val="multilevel"/>
    <w:tmpl w:val="28129BE0"/>
    <w:name w:val="WW8Num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71A1ED1"/>
    <w:multiLevelType w:val="multilevel"/>
    <w:tmpl w:val="C720BD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88B76BB"/>
    <w:multiLevelType w:val="multilevel"/>
    <w:tmpl w:val="B19663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4.10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3" w15:restartNumberingAfterBreak="0">
    <w:nsid w:val="397573B5"/>
    <w:multiLevelType w:val="multilevel"/>
    <w:tmpl w:val="7C542DD2"/>
    <w:lvl w:ilvl="0">
      <w:start w:val="1"/>
      <w:numFmt w:val="decimal"/>
      <w:pStyle w:val="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3D762352"/>
    <w:multiLevelType w:val="multilevel"/>
    <w:tmpl w:val="9AAA07E4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3E1C0A09"/>
    <w:multiLevelType w:val="hybridMultilevel"/>
    <w:tmpl w:val="49083F2A"/>
    <w:lvl w:ilvl="0" w:tplc="418E5B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42DCD"/>
    <w:multiLevelType w:val="hybridMultilevel"/>
    <w:tmpl w:val="BE98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F4CA7"/>
    <w:multiLevelType w:val="multilevel"/>
    <w:tmpl w:val="0E3684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38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9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cs="Times New Roman" w:hint="default"/>
      </w:rPr>
    </w:lvl>
  </w:abstractNum>
  <w:abstractNum w:abstractNumId="28" w15:restartNumberingAfterBreak="0">
    <w:nsid w:val="520C58A3"/>
    <w:multiLevelType w:val="hybridMultilevel"/>
    <w:tmpl w:val="6FF4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7995"/>
    <w:multiLevelType w:val="hybridMultilevel"/>
    <w:tmpl w:val="F4F028A4"/>
    <w:lvl w:ilvl="0" w:tplc="2FEAA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2602D"/>
    <w:multiLevelType w:val="hybridMultilevel"/>
    <w:tmpl w:val="BD5C032E"/>
    <w:lvl w:ilvl="0" w:tplc="E66EB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7822E5"/>
    <w:multiLevelType w:val="multilevel"/>
    <w:tmpl w:val="B3A43BF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2" w15:restartNumberingAfterBreak="0">
    <w:nsid w:val="61316A71"/>
    <w:multiLevelType w:val="multilevel"/>
    <w:tmpl w:val="5E60084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3" w15:restartNumberingAfterBreak="0">
    <w:nsid w:val="62D727D8"/>
    <w:multiLevelType w:val="hybridMultilevel"/>
    <w:tmpl w:val="888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F711E"/>
    <w:multiLevelType w:val="multilevel"/>
    <w:tmpl w:val="ED1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E063D5A"/>
    <w:multiLevelType w:val="hybridMultilevel"/>
    <w:tmpl w:val="D0D4135E"/>
    <w:lvl w:ilvl="0" w:tplc="3E76C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62176"/>
    <w:multiLevelType w:val="hybridMultilevel"/>
    <w:tmpl w:val="54C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4018F"/>
    <w:multiLevelType w:val="hybridMultilevel"/>
    <w:tmpl w:val="EFA66E6A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12523"/>
    <w:multiLevelType w:val="hybridMultilevel"/>
    <w:tmpl w:val="B202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B1598"/>
    <w:multiLevelType w:val="hybridMultilevel"/>
    <w:tmpl w:val="1F82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96815"/>
    <w:multiLevelType w:val="multilevel"/>
    <w:tmpl w:val="6E96F9D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8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6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6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76" w:hanging="1800"/>
      </w:pPr>
      <w:rPr>
        <w:rFonts w:cs="Times New Roman" w:hint="default"/>
      </w:rPr>
    </w:lvl>
  </w:abstractNum>
  <w:abstractNum w:abstractNumId="41" w15:restartNumberingAfterBreak="0">
    <w:nsid w:val="7C9B0FF0"/>
    <w:multiLevelType w:val="multilevel"/>
    <w:tmpl w:val="A6EE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sz w:val="19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9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19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19"/>
      </w:rPr>
    </w:lvl>
  </w:abstractNum>
  <w:abstractNum w:abstractNumId="42" w15:restartNumberingAfterBreak="0">
    <w:nsid w:val="7D667A0B"/>
    <w:multiLevelType w:val="multilevel"/>
    <w:tmpl w:val="2812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F104CAB"/>
    <w:multiLevelType w:val="multilevel"/>
    <w:tmpl w:val="ED1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41"/>
  </w:num>
  <w:num w:numId="5">
    <w:abstractNumId w:val="29"/>
  </w:num>
  <w:num w:numId="6">
    <w:abstractNumId w:val="16"/>
  </w:num>
  <w:num w:numId="7">
    <w:abstractNumId w:val="30"/>
  </w:num>
  <w:num w:numId="8">
    <w:abstractNumId w:val="23"/>
  </w:num>
  <w:num w:numId="9">
    <w:abstractNumId w:val="40"/>
  </w:num>
  <w:num w:numId="10">
    <w:abstractNumId w:val="35"/>
  </w:num>
  <w:num w:numId="11">
    <w:abstractNumId w:val="36"/>
  </w:num>
  <w:num w:numId="12">
    <w:abstractNumId w:val="28"/>
  </w:num>
  <w:num w:numId="13">
    <w:abstractNumId w:val="33"/>
  </w:num>
  <w:num w:numId="1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6"/>
  </w:num>
  <w:num w:numId="18">
    <w:abstractNumId w:val="32"/>
  </w:num>
  <w:num w:numId="19">
    <w:abstractNumId w:val="31"/>
  </w:num>
  <w:num w:numId="20">
    <w:abstractNumId w:val="20"/>
  </w:num>
  <w:num w:numId="21">
    <w:abstractNumId w:val="14"/>
  </w:num>
  <w:num w:numId="22">
    <w:abstractNumId w:val="7"/>
  </w:num>
  <w:num w:numId="23">
    <w:abstractNumId w:val="39"/>
  </w:num>
  <w:num w:numId="24">
    <w:abstractNumId w:val="42"/>
  </w:num>
  <w:num w:numId="25">
    <w:abstractNumId w:val="37"/>
  </w:num>
  <w:num w:numId="26">
    <w:abstractNumId w:val="27"/>
  </w:num>
  <w:num w:numId="27">
    <w:abstractNumId w:val="18"/>
  </w:num>
  <w:num w:numId="28">
    <w:abstractNumId w:val="0"/>
  </w:num>
  <w:num w:numId="29">
    <w:abstractNumId w:val="43"/>
  </w:num>
  <w:num w:numId="30">
    <w:abstractNumId w:val="15"/>
  </w:num>
  <w:num w:numId="31">
    <w:abstractNumId w:val="21"/>
  </w:num>
  <w:num w:numId="32">
    <w:abstractNumId w:val="1"/>
  </w:num>
  <w:num w:numId="33">
    <w:abstractNumId w:val="3"/>
  </w:num>
  <w:num w:numId="34">
    <w:abstractNumId w:val="5"/>
  </w:num>
  <w:num w:numId="35">
    <w:abstractNumId w:val="2"/>
  </w:num>
  <w:num w:numId="36">
    <w:abstractNumId w:val="38"/>
  </w:num>
  <w:num w:numId="37">
    <w:abstractNumId w:val="22"/>
  </w:num>
  <w:num w:numId="38">
    <w:abstractNumId w:val="4"/>
  </w:num>
  <w:num w:numId="39">
    <w:abstractNumId w:val="34"/>
  </w:num>
  <w:num w:numId="40">
    <w:abstractNumId w:val="25"/>
  </w:num>
  <w:num w:numId="41">
    <w:abstractNumId w:val="26"/>
  </w:num>
  <w:num w:numId="42">
    <w:abstractNumId w:val="10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72"/>
    <w:rsid w:val="00010C63"/>
    <w:rsid w:val="00033067"/>
    <w:rsid w:val="000638A8"/>
    <w:rsid w:val="000823B8"/>
    <w:rsid w:val="00085146"/>
    <w:rsid w:val="000A71E0"/>
    <w:rsid w:val="000B4CE2"/>
    <w:rsid w:val="000B619B"/>
    <w:rsid w:val="000C1AFF"/>
    <w:rsid w:val="000C56AB"/>
    <w:rsid w:val="000C5E55"/>
    <w:rsid w:val="000C7DAB"/>
    <w:rsid w:val="000D5AB6"/>
    <w:rsid w:val="000D77D3"/>
    <w:rsid w:val="000F4CE6"/>
    <w:rsid w:val="0010486A"/>
    <w:rsid w:val="0013625A"/>
    <w:rsid w:val="00136471"/>
    <w:rsid w:val="001376FF"/>
    <w:rsid w:val="00147043"/>
    <w:rsid w:val="0017099A"/>
    <w:rsid w:val="00176426"/>
    <w:rsid w:val="0017712F"/>
    <w:rsid w:val="00193C1F"/>
    <w:rsid w:val="001A068D"/>
    <w:rsid w:val="001F34FB"/>
    <w:rsid w:val="002170ED"/>
    <w:rsid w:val="00233772"/>
    <w:rsid w:val="00246ECA"/>
    <w:rsid w:val="002739A4"/>
    <w:rsid w:val="00285060"/>
    <w:rsid w:val="002A23C3"/>
    <w:rsid w:val="002B060E"/>
    <w:rsid w:val="002C56BD"/>
    <w:rsid w:val="002C56E0"/>
    <w:rsid w:val="002D3F76"/>
    <w:rsid w:val="002D4404"/>
    <w:rsid w:val="002D6BCB"/>
    <w:rsid w:val="002E02D7"/>
    <w:rsid w:val="002E58BD"/>
    <w:rsid w:val="002F12C2"/>
    <w:rsid w:val="002F6DDB"/>
    <w:rsid w:val="00332669"/>
    <w:rsid w:val="003549F4"/>
    <w:rsid w:val="00363FEE"/>
    <w:rsid w:val="003818CA"/>
    <w:rsid w:val="00384041"/>
    <w:rsid w:val="00397AC8"/>
    <w:rsid w:val="003A6EC7"/>
    <w:rsid w:val="003C7463"/>
    <w:rsid w:val="003D2100"/>
    <w:rsid w:val="003D2B34"/>
    <w:rsid w:val="003D4F74"/>
    <w:rsid w:val="00412622"/>
    <w:rsid w:val="00436043"/>
    <w:rsid w:val="00446A10"/>
    <w:rsid w:val="004474C6"/>
    <w:rsid w:val="004766C8"/>
    <w:rsid w:val="004B7047"/>
    <w:rsid w:val="004C0661"/>
    <w:rsid w:val="004E35DB"/>
    <w:rsid w:val="004F0CD5"/>
    <w:rsid w:val="004F5EB2"/>
    <w:rsid w:val="004F70BE"/>
    <w:rsid w:val="005051E6"/>
    <w:rsid w:val="00507AAE"/>
    <w:rsid w:val="00507D33"/>
    <w:rsid w:val="0052452C"/>
    <w:rsid w:val="00534ED0"/>
    <w:rsid w:val="00540450"/>
    <w:rsid w:val="00546BFE"/>
    <w:rsid w:val="00581E2B"/>
    <w:rsid w:val="0058648E"/>
    <w:rsid w:val="005A1529"/>
    <w:rsid w:val="005A4D3A"/>
    <w:rsid w:val="005C7D87"/>
    <w:rsid w:val="005E793F"/>
    <w:rsid w:val="00604703"/>
    <w:rsid w:val="00605A5D"/>
    <w:rsid w:val="0065436D"/>
    <w:rsid w:val="00691E12"/>
    <w:rsid w:val="006A39B8"/>
    <w:rsid w:val="006A65F8"/>
    <w:rsid w:val="006B209E"/>
    <w:rsid w:val="006F7DA8"/>
    <w:rsid w:val="006F7DBB"/>
    <w:rsid w:val="00704BF4"/>
    <w:rsid w:val="0071062F"/>
    <w:rsid w:val="0072693E"/>
    <w:rsid w:val="00730BD4"/>
    <w:rsid w:val="00730C11"/>
    <w:rsid w:val="007476FD"/>
    <w:rsid w:val="00756071"/>
    <w:rsid w:val="0078581F"/>
    <w:rsid w:val="00785D68"/>
    <w:rsid w:val="007E267F"/>
    <w:rsid w:val="007F069C"/>
    <w:rsid w:val="008073E2"/>
    <w:rsid w:val="008676A8"/>
    <w:rsid w:val="008778C5"/>
    <w:rsid w:val="0088723E"/>
    <w:rsid w:val="00894F33"/>
    <w:rsid w:val="00895D2D"/>
    <w:rsid w:val="008A0CA9"/>
    <w:rsid w:val="008A5888"/>
    <w:rsid w:val="008C5876"/>
    <w:rsid w:val="008E0CC7"/>
    <w:rsid w:val="00913733"/>
    <w:rsid w:val="00924E60"/>
    <w:rsid w:val="00954B85"/>
    <w:rsid w:val="009571DB"/>
    <w:rsid w:val="00996670"/>
    <w:rsid w:val="009A4F18"/>
    <w:rsid w:val="009B244D"/>
    <w:rsid w:val="009B3CF7"/>
    <w:rsid w:val="009D11CE"/>
    <w:rsid w:val="009E1512"/>
    <w:rsid w:val="00A2031D"/>
    <w:rsid w:val="00A40548"/>
    <w:rsid w:val="00A42D86"/>
    <w:rsid w:val="00A81076"/>
    <w:rsid w:val="00A950C7"/>
    <w:rsid w:val="00AB3845"/>
    <w:rsid w:val="00B03408"/>
    <w:rsid w:val="00B03C53"/>
    <w:rsid w:val="00B11129"/>
    <w:rsid w:val="00B23D47"/>
    <w:rsid w:val="00B2554C"/>
    <w:rsid w:val="00B33010"/>
    <w:rsid w:val="00B409BD"/>
    <w:rsid w:val="00B6019B"/>
    <w:rsid w:val="00B65370"/>
    <w:rsid w:val="00B8266F"/>
    <w:rsid w:val="00B92396"/>
    <w:rsid w:val="00BA794B"/>
    <w:rsid w:val="00BA7F73"/>
    <w:rsid w:val="00BC4B09"/>
    <w:rsid w:val="00BD3889"/>
    <w:rsid w:val="00C13408"/>
    <w:rsid w:val="00C17710"/>
    <w:rsid w:val="00C339D5"/>
    <w:rsid w:val="00C42BA4"/>
    <w:rsid w:val="00C506A5"/>
    <w:rsid w:val="00C57B6E"/>
    <w:rsid w:val="00C873CC"/>
    <w:rsid w:val="00C9569D"/>
    <w:rsid w:val="00CB3406"/>
    <w:rsid w:val="00CD7081"/>
    <w:rsid w:val="00CF082E"/>
    <w:rsid w:val="00CF1A8C"/>
    <w:rsid w:val="00D221DB"/>
    <w:rsid w:val="00D4145F"/>
    <w:rsid w:val="00DD0296"/>
    <w:rsid w:val="00DD5DD2"/>
    <w:rsid w:val="00DE1144"/>
    <w:rsid w:val="00DE3599"/>
    <w:rsid w:val="00E0510A"/>
    <w:rsid w:val="00E0533B"/>
    <w:rsid w:val="00E30762"/>
    <w:rsid w:val="00E52C88"/>
    <w:rsid w:val="00E66808"/>
    <w:rsid w:val="00E8241E"/>
    <w:rsid w:val="00EA2E34"/>
    <w:rsid w:val="00EA5C22"/>
    <w:rsid w:val="00EB10B1"/>
    <w:rsid w:val="00EB14A3"/>
    <w:rsid w:val="00EB42F5"/>
    <w:rsid w:val="00EE5A7F"/>
    <w:rsid w:val="00EE6641"/>
    <w:rsid w:val="00EE7F93"/>
    <w:rsid w:val="00EF2DD0"/>
    <w:rsid w:val="00F15770"/>
    <w:rsid w:val="00F25504"/>
    <w:rsid w:val="00F25A2B"/>
    <w:rsid w:val="00F57980"/>
    <w:rsid w:val="00F61314"/>
    <w:rsid w:val="00F6234F"/>
    <w:rsid w:val="00F74B43"/>
    <w:rsid w:val="00FA1FAF"/>
    <w:rsid w:val="00FB1442"/>
    <w:rsid w:val="00FC4DDE"/>
    <w:rsid w:val="00FC665E"/>
    <w:rsid w:val="00FC6D48"/>
    <w:rsid w:val="00FD7D6F"/>
    <w:rsid w:val="00FE1DA4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E39F5"/>
  <w15:docId w15:val="{25040B7E-1620-4C5F-A740-15DBD2B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03"/>
  </w:style>
  <w:style w:type="paragraph" w:styleId="1">
    <w:name w:val="heading 1"/>
    <w:basedOn w:val="a"/>
    <w:next w:val="a"/>
    <w:link w:val="10"/>
    <w:qFormat/>
    <w:rsid w:val="00507AAE"/>
    <w:pPr>
      <w:keepNext/>
      <w:keepLines/>
      <w:numPr>
        <w:numId w:val="8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07AAE"/>
    <w:pPr>
      <w:keepNext/>
      <w:keepLines/>
      <w:numPr>
        <w:ilvl w:val="1"/>
        <w:numId w:val="8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07AAE"/>
    <w:pPr>
      <w:keepNext/>
      <w:keepLines/>
      <w:numPr>
        <w:ilvl w:val="2"/>
        <w:numId w:val="8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507AAE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07AAE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507AAE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507AAE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507AAE"/>
    <w:pPr>
      <w:keepNext/>
      <w:keepLines/>
      <w:numPr>
        <w:ilvl w:val="7"/>
        <w:numId w:val="8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07AAE"/>
    <w:pPr>
      <w:keepNext/>
      <w:keepLines/>
      <w:numPr>
        <w:ilvl w:val="8"/>
        <w:numId w:val="8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23B8"/>
    <w:pPr>
      <w:ind w:left="720"/>
      <w:contextualSpacing/>
    </w:pPr>
  </w:style>
  <w:style w:type="paragraph" w:styleId="a5">
    <w:name w:val="footer"/>
    <w:basedOn w:val="a"/>
    <w:link w:val="a6"/>
    <w:uiPriority w:val="99"/>
    <w:rsid w:val="002A23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A23C3"/>
    <w:rPr>
      <w:rFonts w:ascii="Calibri" w:eastAsia="Times New Roman" w:hAnsi="Calibri" w:cs="Times New Roman"/>
      <w:lang w:eastAsia="ru-RU"/>
    </w:rPr>
  </w:style>
  <w:style w:type="character" w:customStyle="1" w:styleId="81">
    <w:name w:val="Основной текст (8)_"/>
    <w:basedOn w:val="a0"/>
    <w:link w:val="82"/>
    <w:uiPriority w:val="99"/>
    <w:locked/>
    <w:rsid w:val="00507AAE"/>
    <w:rPr>
      <w:rFonts w:ascii="Microsoft Sans Serif" w:hAnsi="Microsoft Sans Serif" w:cs="Times New Roman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507AAE"/>
    <w:pPr>
      <w:shd w:val="clear" w:color="auto" w:fill="FFFFFF"/>
      <w:spacing w:after="0" w:line="98" w:lineRule="exact"/>
      <w:jc w:val="both"/>
    </w:pPr>
    <w:rPr>
      <w:rFonts w:ascii="Microsoft Sans Serif" w:hAnsi="Microsoft Sans Serif" w:cs="Times New Roman"/>
      <w:sz w:val="8"/>
      <w:szCs w:val="8"/>
    </w:rPr>
  </w:style>
  <w:style w:type="character" w:customStyle="1" w:styleId="10">
    <w:name w:val="Заголовок 1 Знак"/>
    <w:basedOn w:val="a0"/>
    <w:link w:val="1"/>
    <w:uiPriority w:val="99"/>
    <w:rsid w:val="00507A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7A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7AA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7AA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7AAE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07AAE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07AAE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07A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07AA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7">
    <w:name w:val="Стиль"/>
    <w:rsid w:val="007106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BA7F73"/>
  </w:style>
  <w:style w:type="character" w:styleId="a8">
    <w:name w:val="Strong"/>
    <w:basedOn w:val="a0"/>
    <w:uiPriority w:val="99"/>
    <w:qFormat/>
    <w:rsid w:val="003818CA"/>
    <w:rPr>
      <w:b/>
      <w:bCs/>
    </w:rPr>
  </w:style>
  <w:style w:type="paragraph" w:customStyle="1" w:styleId="Default">
    <w:name w:val="Default"/>
    <w:rsid w:val="00F6234F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Баирампас</dc:creator>
  <cp:keywords/>
  <dc:description/>
  <cp:lastModifiedBy>user</cp:lastModifiedBy>
  <cp:revision>13</cp:revision>
  <dcterms:created xsi:type="dcterms:W3CDTF">2019-05-29T14:52:00Z</dcterms:created>
  <dcterms:modified xsi:type="dcterms:W3CDTF">2019-06-27T12:11:00Z</dcterms:modified>
</cp:coreProperties>
</file>